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8504E"/>
    <w:p w14:paraId="07C63616"/>
    <w:p w14:paraId="51D2B575"/>
    <w:p w14:paraId="37D0C8C4"/>
    <w:p w14:paraId="1A18408F"/>
    <w:p w14:paraId="0DF64D98">
      <w:pPr>
        <w:jc w:val="center"/>
      </w:pPr>
      <w:r>
        <w:rPr>
          <w:rFonts w:ascii="Arial" w:hAnsi="Arial" w:eastAsia="微软雅黑"/>
          <w:b/>
          <w:color w:val="8A5A33"/>
          <w:sz w:val="60"/>
        </w:rPr>
        <w:t>《熊心壮职》</w:t>
      </w:r>
    </w:p>
    <w:p w14:paraId="4506141D">
      <w:pPr>
        <w:jc w:val="center"/>
      </w:pPr>
      <w:r>
        <w:rPr>
          <w:rFonts w:ascii="Arial" w:hAnsi="Arial" w:eastAsia="微软雅黑"/>
          <w:b/>
          <w:color w:val="2C2C2B"/>
          <w:sz w:val="52"/>
        </w:rPr>
        <w:t>美术设计方案</w:t>
      </w:r>
    </w:p>
    <w:p w14:paraId="1EFBB84B"/>
    <w:p w14:paraId="0795B44D">
      <w:pPr>
        <w:jc w:val="center"/>
      </w:pPr>
      <w:r>
        <w:rPr>
          <w:rFonts w:ascii="Arial" w:hAnsi="Arial" w:eastAsia="微软雅黑"/>
          <w:b w:val="0"/>
          <w:color w:val="7D7A75"/>
          <w:sz w:val="24"/>
        </w:rPr>
        <w:t>角色系统 · 场景 · UI · 动效 · 落地执行</w:t>
      </w:r>
    </w:p>
    <w:p w14:paraId="617F029F">
      <w:pPr>
        <w:jc w:val="center"/>
      </w:pPr>
      <w:r>
        <w:rPr>
          <w:rFonts w:ascii="Arial" w:hAnsi="Arial" w:eastAsia="微软雅黑"/>
          <w:b w:val="0"/>
          <w:color w:val="7D7A75"/>
          <w:sz w:val="21"/>
        </w:rPr>
        <w:t>V2.2 · 2026-09-07</w:t>
      </w:r>
    </w:p>
    <w:p w14:paraId="77609AA8"/>
    <w:p w14:paraId="18964311"/>
    <w:p w14:paraId="76F57BD7"/>
    <w:p w14:paraId="2579D6B0"/>
    <w:p w14:paraId="4C6EE472">
      <w:pPr>
        <w:jc w:val="center"/>
      </w:pPr>
      <w:r>
        <w:drawing>
          <wp:inline distT="0" distB="0" distL="114300" distR="114300">
            <wp:extent cx="2339975" cy="2339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D980">
      <w:pPr>
        <w:jc w:val="center"/>
      </w:pPr>
      <w:r>
        <w:rPr>
          <w:rFonts w:hint="eastAsia"/>
          <w:b w:val="0"/>
          <w:color w:val="7D7A75"/>
          <w:sz w:val="18"/>
          <w:lang w:val="en-US" w:eastAsia="zh-CN"/>
        </w:rPr>
        <w:t>熊CEO</w:t>
      </w:r>
      <w:r>
        <w:rPr>
          <w:rFonts w:ascii="Arial" w:hAnsi="Arial" w:eastAsia="微软雅黑"/>
          <w:b w:val="0"/>
          <w:color w:val="7D7A75"/>
          <w:sz w:val="18"/>
        </w:rPr>
        <w:t>形象</w:t>
      </w:r>
      <w:r>
        <w:rPr>
          <w:rFonts w:hint="eastAsia"/>
          <w:b w:val="0"/>
          <w:color w:val="7D7A75"/>
          <w:sz w:val="18"/>
          <w:lang w:val="en-US" w:eastAsia="zh-CN"/>
        </w:rPr>
        <w:t>拟</w:t>
      </w:r>
      <w:r>
        <w:rPr>
          <w:rFonts w:ascii="Arial" w:hAnsi="Arial" w:eastAsia="微软雅黑"/>
          <w:b w:val="0"/>
          <w:color w:val="7D7A75"/>
          <w:sz w:val="18"/>
        </w:rPr>
        <w:t>稿</w:t>
      </w:r>
    </w:p>
    <w:p w14:paraId="51E9A54B">
      <w:r>
        <w:br w:type="page"/>
      </w:r>
    </w:p>
    <w:p w14:paraId="17CD49E0">
      <w:pPr>
        <w:pStyle w:val="3"/>
      </w:pPr>
      <w:r>
        <w:t>一、设计目标与已定决策</w:t>
      </w:r>
    </w:p>
    <w:p w14:paraId="4766CF43">
      <w:r>
        <w:rPr>
          <w:rFonts w:ascii="Arial" w:hAnsi="Arial" w:eastAsia="微软雅黑"/>
          <w:b w:val="0"/>
          <w:color w:val="2C2C2B"/>
          <w:sz w:val="21"/>
        </w:rPr>
        <w:t>美术承担三件事:四个角色撑起职场关系网,让每个 Agent 各有人格;等距场景承载任务与交互;记忆墙把“被记住”变成看得见的实体。视觉风格:软萌精致 Q 版角色 + 2.5D 等距职场 + 克制的游戏化 UI。</w:t>
      </w:r>
    </w:p>
    <w:p w14:paraId="042C0A2C">
      <w:r>
        <w:rPr>
          <w:rFonts w:ascii="Arial" w:hAnsi="Arial" w:eastAsia="微软雅黑"/>
          <w:b/>
          <w:color w:val="2C2C2B"/>
          <w:sz w:val="21"/>
        </w:rPr>
        <w:t>执行原则:角色优先;任何视觉元素</w:t>
      </w:r>
      <w:r>
        <w:rPr>
          <w:rFonts w:hint="eastAsia"/>
          <w:b/>
          <w:color w:val="2C2C2B"/>
          <w:sz w:val="21"/>
          <w:lang w:val="en-US" w:eastAsia="zh-CN"/>
        </w:rPr>
        <w:t>都能</w:t>
      </w:r>
      <w:r>
        <w:rPr>
          <w:rFonts w:ascii="Arial" w:hAnsi="Arial" w:eastAsia="微软雅黑"/>
          <w:b/>
          <w:color w:val="2C2C2B"/>
          <w:sz w:val="21"/>
        </w:rPr>
        <w:t>说得出用途;所有设计以决赛现场 3 分钟可演示为准。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70E8F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  <w:shd w:val="clear" w:color="auto" w:fill="8A5A33"/>
          </w:tcPr>
          <w:p w14:paraId="59269066">
            <w:r>
              <w:rPr>
                <w:rFonts w:ascii="Arial" w:hAnsi="Arial"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w="4479" w:type="dxa"/>
            <w:shd w:val="clear" w:color="auto" w:fill="8A5A33"/>
          </w:tcPr>
          <w:p w14:paraId="2773F97B">
            <w:r>
              <w:rPr>
                <w:rFonts w:ascii="Arial" w:hAnsi="Arial" w:eastAsia="微软雅黑"/>
                <w:b/>
                <w:color w:val="FFFFFF"/>
                <w:sz w:val="19"/>
              </w:rPr>
              <w:t>已定结论(直接执行,不再讨论)</w:t>
            </w:r>
          </w:p>
        </w:tc>
      </w:tr>
      <w:tr w14:paraId="3694E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</w:tcPr>
          <w:p w14:paraId="376D8D78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形象数量</w:t>
            </w:r>
          </w:p>
        </w:tc>
        <w:tc>
          <w:tcPr>
            <w:tcW w:w="4479" w:type="dxa"/>
          </w:tcPr>
          <w:p w14:paraId="06AE39C4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四</w:t>
            </w:r>
            <w:r>
              <w:rPr>
                <w:rFonts w:hint="eastAsia"/>
                <w:b w:val="0"/>
                <w:color w:val="2C2C2B"/>
                <w:sz w:val="19"/>
                <w:lang w:val="en-US" w:eastAsia="zh-CN"/>
              </w:rPr>
              <w:t>个基础</w:t>
            </w:r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形象:熊总 / 熊销售 / 熊行政 / 熊技术</w:t>
            </w:r>
            <w:r>
              <w:rPr>
                <w:rFonts w:hint="eastAsia"/>
                <w:b w:val="0"/>
                <w:color w:val="2C2C2B"/>
                <w:sz w:val="19"/>
                <w:lang w:val="en-US" w:eastAsia="zh-CN"/>
              </w:rPr>
              <w:t>＋用户默认形象，</w:t>
            </w:r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共享骨骼与表情系统</w:t>
            </w:r>
          </w:p>
        </w:tc>
      </w:tr>
      <w:tr w14:paraId="41DFE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</w:tcPr>
          <w:p w14:paraId="648B3143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视角</w:t>
            </w:r>
          </w:p>
        </w:tc>
        <w:tc>
          <w:tcPr>
            <w:tcW w:w="4479" w:type="dxa"/>
          </w:tcPr>
          <w:p w14:paraId="018272A7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2.5D 等距,正交相机 X30° Y45°</w:t>
            </w:r>
          </w:p>
        </w:tc>
      </w:tr>
      <w:tr w14:paraId="62DB9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</w:tcPr>
          <w:p w14:paraId="6FF92129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色彩</w:t>
            </w:r>
          </w:p>
        </w:tc>
        <w:tc>
          <w:tcPr>
            <w:tcW w:w="4479" w:type="dxa"/>
          </w:tcPr>
          <w:p w14:paraId="055D4A59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暖棕毛绒为主色域;科技蓝用于按钮;失败场景禁用红色</w:t>
            </w:r>
          </w:p>
        </w:tc>
      </w:tr>
      <w:tr w14:paraId="783D7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</w:tcPr>
          <w:p w14:paraId="50FE1828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失败反馈</w:t>
            </w:r>
          </w:p>
        </w:tc>
        <w:tc>
          <w:tcPr>
            <w:tcW w:w="4479" w:type="dxa"/>
          </w:tcPr>
          <w:p w14:paraId="23BCB9E6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无红叉、无扣分提示,角色先给情绪反馈再给事实</w:t>
            </w:r>
          </w:p>
        </w:tc>
      </w:tr>
      <w:tr w14:paraId="61859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</w:tcPr>
          <w:p w14:paraId="30788ACD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AI 使用边界</w:t>
            </w:r>
          </w:p>
        </w:tc>
        <w:tc>
          <w:tcPr>
            <w:tcW w:w="4479" w:type="dxa"/>
          </w:tcPr>
          <w:p w14:paraId="24502577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AI 负责概念图与视频素材;引擎内资产人工建模绑定</w:t>
            </w:r>
          </w:p>
        </w:tc>
      </w:tr>
      <w:tr w14:paraId="094CA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</w:tcPr>
          <w:p w14:paraId="064AED0F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资产路线</w:t>
            </w:r>
          </w:p>
        </w:tc>
        <w:tc>
          <w:tcPr>
            <w:tcW w:w="4479" w:type="dxa"/>
          </w:tcPr>
          <w:p w14:paraId="49EAA3B4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2.5D PNG 序列为运行主线;3D 模型仅用于展示与视频</w:t>
            </w:r>
          </w:p>
        </w:tc>
      </w:tr>
    </w:tbl>
    <w:p w14:paraId="6F936B7B">
      <w:pPr>
        <w:spacing w:after="40"/>
      </w:pPr>
    </w:p>
    <w:p w14:paraId="0552BC87">
      <w:r>
        <w:br w:type="page"/>
      </w:r>
    </w:p>
    <w:p w14:paraId="4CE50CBC">
      <w:pPr>
        <w:pStyle w:val="3"/>
      </w:pPr>
      <w:r>
        <w:t>二、角色系统</w:t>
      </w:r>
    </w:p>
    <w:p w14:paraId="644ADB22">
      <w:pPr>
        <w:pStyle w:val="4"/>
      </w:pPr>
      <w:r>
        <w:t xml:space="preserve">2.1 </w:t>
      </w:r>
      <w:r>
        <w:rPr>
          <w:rFonts w:hint="eastAsia" w:eastAsia="宋体"/>
          <w:lang w:val="en-US" w:eastAsia="zh-CN"/>
        </w:rPr>
        <w:t>角色基础</w:t>
      </w:r>
      <w:r>
        <w:t>与个性变量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68ACE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  <w:shd w:val="clear" w:color="auto" w:fill="8A5A33"/>
          </w:tcPr>
          <w:p w14:paraId="4790A7D9">
            <w:r>
              <w:rPr>
                <w:rFonts w:ascii="Arial" w:hAnsi="Arial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w="2986" w:type="dxa"/>
            <w:shd w:val="clear" w:color="auto" w:fill="8A5A33"/>
          </w:tcPr>
          <w:p w14:paraId="26F19893">
            <w:r>
              <w:rPr>
                <w:rFonts w:ascii="Arial" w:hAnsi="Arial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w="2986" w:type="dxa"/>
            <w:shd w:val="clear" w:color="auto" w:fill="8A5A33"/>
          </w:tcPr>
          <w:p w14:paraId="3DF8E65C">
            <w:r>
              <w:rPr>
                <w:rFonts w:ascii="Arial" w:hAnsi="Arial" w:eastAsia="微软雅黑"/>
                <w:b/>
                <w:color w:val="FFFFFF"/>
                <w:sz w:val="19"/>
              </w:rPr>
              <w:t>作用</w:t>
            </w:r>
          </w:p>
        </w:tc>
      </w:tr>
      <w:tr w14:paraId="1D715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74DDA691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基础形象</w:t>
            </w:r>
          </w:p>
        </w:tc>
        <w:tc>
          <w:tcPr>
            <w:tcW w:w="2986" w:type="dxa"/>
          </w:tcPr>
          <w:p w14:paraId="50D787A2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2.5 头身、圆润无尖角、短绒毛发工艺、同一渲染管线、同一套眉眼嘴变形规则、同一套骨骼绑定</w:t>
            </w:r>
          </w:p>
        </w:tc>
        <w:tc>
          <w:tcPr>
            <w:tcW w:w="2986" w:type="dxa"/>
          </w:tcPr>
          <w:p w14:paraId="1BD8878B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保证</w:t>
            </w:r>
            <w:r>
              <w:rPr>
                <w:rFonts w:hint="eastAsia"/>
                <w:b w:val="0"/>
                <w:color w:val="2C2C2B"/>
                <w:sz w:val="19"/>
                <w:lang w:val="en-US" w:eastAsia="zh-CN"/>
              </w:rPr>
              <w:t>每个形象画风一致</w:t>
            </w:r>
          </w:p>
        </w:tc>
      </w:tr>
      <w:tr w14:paraId="58883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140D3078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个性变量</w:t>
            </w:r>
          </w:p>
        </w:tc>
        <w:tc>
          <w:tcPr>
            <w:tcW w:w="2986" w:type="dxa"/>
          </w:tcPr>
          <w:p w14:paraId="3C0776C9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毛色耳形、服饰、配饰、体型微差、表情基调、动作基调、标志色</w:t>
            </w:r>
          </w:p>
        </w:tc>
        <w:tc>
          <w:tcPr>
            <w:tcW w:w="2986" w:type="dxa"/>
          </w:tcPr>
          <w:p w14:paraId="2AB4D378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保证“四个角色”</w:t>
            </w:r>
            <w:r>
              <w:rPr>
                <w:rFonts w:hint="default"/>
                <w:b w:val="0"/>
                <w:color w:val="2C2C2B"/>
                <w:sz w:val="19"/>
                <w:u w:val="dotted"/>
                <w:lang w:eastAsia="zh-CN"/>
              </w:rPr>
              <w:t>个性突出，各具特色</w:t>
            </w:r>
          </w:p>
        </w:tc>
      </w:tr>
    </w:tbl>
    <w:p w14:paraId="7A6DFE4E">
      <w:pPr>
        <w:spacing w:after="40"/>
      </w:pPr>
    </w:p>
    <w:p w14:paraId="0F06419E">
      <w:pPr>
        <w:spacing w:after="40"/>
      </w:pPr>
    </w:p>
    <w:p w14:paraId="30BACC9D">
      <w:pPr>
        <w:rPr>
          <w:rFonts w:ascii="Arial" w:hAnsi="Arial" w:eastAsia="微软雅黑"/>
          <w:b w:val="0"/>
          <w:color w:val="2C2C2B"/>
          <w:sz w:val="21"/>
        </w:rPr>
      </w:pPr>
      <w:r>
        <w:rPr>
          <w:rFonts w:ascii="Arial" w:hAnsi="Arial" w:eastAsia="微软雅黑"/>
          <w:b w:val="0"/>
          <w:color w:val="2C2C2B"/>
          <w:sz w:val="21"/>
        </w:rPr>
        <w:t>检验:①剪影测试——四熊去色缩至 100px 仅凭轮廓</w:t>
      </w:r>
    </w:p>
    <w:p w14:paraId="2955F144">
      <w:r>
        <w:rPr>
          <w:rFonts w:ascii="Arial" w:hAnsi="Arial" w:eastAsia="微软雅黑"/>
          <w:b w:val="0"/>
          <w:color w:val="2C2C2B"/>
          <w:sz w:val="21"/>
        </w:rPr>
        <w:t>可区分;②换衣测试——交换服饰后凭表情体态仍算成立。</w:t>
      </w:r>
    </w:p>
    <w:p w14:paraId="1B26303F">
      <w:pPr>
        <w:pStyle w:val="4"/>
      </w:pPr>
      <w:r>
        <w:t>2.</w:t>
      </w:r>
      <w:r>
        <w:rPr>
          <w:rFonts w:hint="eastAsia" w:eastAsia="宋体"/>
          <w:lang w:val="en-US" w:eastAsia="zh-CN"/>
        </w:rPr>
        <w:t>2</w:t>
      </w:r>
      <w:r>
        <w:t xml:space="preserve"> 表情与动作库</w:t>
      </w:r>
    </w:p>
    <w:p w14:paraId="3E69C78D">
      <w:pPr>
        <w:rPr>
          <w:rFonts w:ascii="Arial" w:hAnsi="Arial" w:eastAsia="微软雅黑"/>
          <w:b w:val="0"/>
          <w:color w:val="2C2C2B"/>
          <w:sz w:val="21"/>
        </w:rPr>
      </w:pPr>
      <w:r>
        <w:rPr>
          <w:rFonts w:ascii="Arial" w:hAnsi="Arial" w:eastAsia="微软雅黑"/>
          <w:b w:val="0"/>
          <w:color w:val="2C2C2B"/>
          <w:sz w:val="21"/>
        </w:rPr>
        <w:t>表情 6 个:默认微笑、眨眼、开心、倾听、思考、说话;扩展 4 个:疑惑、鼓励、沮丧、惊喜。</w:t>
      </w:r>
    </w:p>
    <w:p w14:paraId="04FE5B91">
      <w:r>
        <w:rPr>
          <w:rFonts w:ascii="Arial" w:hAnsi="Arial" w:eastAsia="微软雅黑"/>
          <w:b w:val="0"/>
          <w:color w:val="2C2C2B"/>
          <w:sz w:val="21"/>
        </w:rPr>
        <w:t>动作基调对比: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792"/>
        <w:gridCol w:w="1792"/>
        <w:gridCol w:w="1792"/>
        <w:gridCol w:w="1792"/>
      </w:tblGrid>
      <w:tr w14:paraId="2B970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  <w:shd w:val="clear" w:color="auto" w:fill="8A5A33"/>
          </w:tcPr>
          <w:p w14:paraId="6733EB53">
            <w:r>
              <w:rPr>
                <w:rFonts w:ascii="Arial" w:hAnsi="Arial" w:eastAsia="微软雅黑"/>
                <w:b/>
                <w:color w:val="FFFFFF"/>
                <w:sz w:val="19"/>
              </w:rPr>
              <w:t>动作</w:t>
            </w:r>
          </w:p>
        </w:tc>
        <w:tc>
          <w:tcPr>
            <w:tcW w:w="1792" w:type="dxa"/>
            <w:shd w:val="clear" w:color="auto" w:fill="8A5A33"/>
          </w:tcPr>
          <w:p w14:paraId="3C0A4466">
            <w:r>
              <w:rPr>
                <w:rFonts w:ascii="Arial" w:hAnsi="Arial" w:eastAsia="微软雅黑"/>
                <w:b/>
                <w:color w:val="FFFFFF"/>
                <w:sz w:val="19"/>
              </w:rPr>
              <w:t>熊总</w:t>
            </w:r>
          </w:p>
        </w:tc>
        <w:tc>
          <w:tcPr>
            <w:tcW w:w="1792" w:type="dxa"/>
            <w:shd w:val="clear" w:color="auto" w:fill="8A5A33"/>
          </w:tcPr>
          <w:p w14:paraId="06A5D510">
            <w:r>
              <w:rPr>
                <w:rFonts w:ascii="Arial" w:hAnsi="Arial" w:eastAsia="微软雅黑"/>
                <w:b/>
                <w:color w:val="FFFFFF"/>
                <w:sz w:val="19"/>
              </w:rPr>
              <w:t>熊销售</w:t>
            </w:r>
          </w:p>
        </w:tc>
        <w:tc>
          <w:tcPr>
            <w:tcW w:w="1792" w:type="dxa"/>
            <w:shd w:val="clear" w:color="auto" w:fill="8A5A33"/>
          </w:tcPr>
          <w:p w14:paraId="6967B6C8">
            <w:r>
              <w:rPr>
                <w:rFonts w:ascii="Arial" w:hAnsi="Arial" w:eastAsia="微软雅黑"/>
                <w:b/>
                <w:color w:val="FFFFFF"/>
                <w:sz w:val="19"/>
              </w:rPr>
              <w:t>熊行政</w:t>
            </w:r>
          </w:p>
        </w:tc>
        <w:tc>
          <w:tcPr>
            <w:tcW w:w="1792" w:type="dxa"/>
            <w:shd w:val="clear" w:color="auto" w:fill="8A5A33"/>
          </w:tcPr>
          <w:p w14:paraId="22D603A8">
            <w:r>
              <w:rPr>
                <w:rFonts w:ascii="Arial" w:hAnsi="Arial" w:eastAsia="微软雅黑"/>
                <w:b/>
                <w:color w:val="FFFFFF"/>
                <w:sz w:val="19"/>
              </w:rPr>
              <w:t>熊技术</w:t>
            </w:r>
          </w:p>
        </w:tc>
      </w:tr>
      <w:tr w14:paraId="372A3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0A7A45BA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待机</w:t>
            </w:r>
          </w:p>
        </w:tc>
        <w:tc>
          <w:tcPr>
            <w:tcW w:w="1792" w:type="dxa"/>
          </w:tcPr>
          <w:p w14:paraId="182E263C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双手垂立</w:t>
            </w:r>
          </w:p>
        </w:tc>
        <w:tc>
          <w:tcPr>
            <w:tcW w:w="1792" w:type="dxa"/>
          </w:tcPr>
          <w:p w14:paraId="026AD66D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站姿外八,随时准备开口</w:t>
            </w:r>
          </w:p>
        </w:tc>
        <w:tc>
          <w:tcPr>
            <w:tcW w:w="1792" w:type="dxa"/>
          </w:tcPr>
          <w:p w14:paraId="27BE0959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手持文件夹,安静记录</w:t>
            </w:r>
          </w:p>
        </w:tc>
        <w:tc>
          <w:tcPr>
            <w:tcW w:w="1792" w:type="dxa"/>
          </w:tcPr>
          <w:p w14:paraId="1DA502FF">
            <w:r>
              <w:rPr>
                <w:rFonts w:hint="eastAsia"/>
                <w:b w:val="0"/>
                <w:color w:val="2C2C2B"/>
                <w:sz w:val="19"/>
                <w:lang w:val="en-US" w:eastAsia="zh-CN"/>
              </w:rPr>
              <w:t>挂脖</w:t>
            </w:r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耳机,偶尔抖腿</w:t>
            </w:r>
          </w:p>
        </w:tc>
      </w:tr>
      <w:tr w14:paraId="4F71D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27750C9D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思考</w:t>
            </w:r>
          </w:p>
        </w:tc>
        <w:tc>
          <w:tcPr>
            <w:tcW w:w="1792" w:type="dxa"/>
          </w:tcPr>
          <w:p w14:paraId="613C2C18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扶眼镜,视线偏右上</w:t>
            </w:r>
          </w:p>
        </w:tc>
        <w:tc>
          <w:tcPr>
            <w:tcW w:w="1792" w:type="dxa"/>
          </w:tcPr>
          <w:p w14:paraId="3320E45D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眯眼盘算,手指点桌面</w:t>
            </w:r>
          </w:p>
        </w:tc>
        <w:tc>
          <w:tcPr>
            <w:tcW w:w="1792" w:type="dxa"/>
          </w:tcPr>
          <w:p w14:paraId="66DF8B47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低头翻页核对</w:t>
            </w:r>
          </w:p>
        </w:tc>
        <w:tc>
          <w:tcPr>
            <w:tcW w:w="1792" w:type="dxa"/>
          </w:tcPr>
          <w:p w14:paraId="21D77571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盯屏放空,突然眼神发亮</w:t>
            </w:r>
          </w:p>
        </w:tc>
      </w:tr>
      <w:tr w14:paraId="74F60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1C7C9FAE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正向反馈</w:t>
            </w:r>
          </w:p>
        </w:tc>
        <w:tc>
          <w:tcPr>
            <w:tcW w:w="1792" w:type="dxa"/>
          </w:tcPr>
          <w:p w14:paraId="424DAF5E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点头,幅度小</w:t>
            </w:r>
          </w:p>
        </w:tc>
        <w:tc>
          <w:tcPr>
            <w:tcW w:w="1792" w:type="dxa"/>
          </w:tcPr>
          <w:p w14:paraId="0DE70DED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双手竖大拇指</w:t>
            </w:r>
          </w:p>
        </w:tc>
        <w:tc>
          <w:tcPr>
            <w:tcW w:w="1792" w:type="dxa"/>
          </w:tcPr>
          <w:p w14:paraId="35046DB2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微笑加深,无声鼓掌</w:t>
            </w:r>
          </w:p>
        </w:tc>
        <w:tc>
          <w:tcPr>
            <w:tcW w:w="1792" w:type="dxa"/>
          </w:tcPr>
          <w:p w14:paraId="6472FD38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握拳轻喊“过了!”,随即不好意思</w:t>
            </w:r>
          </w:p>
        </w:tc>
      </w:tr>
      <w:tr w14:paraId="79049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5A761CE4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负向反馈</w:t>
            </w:r>
          </w:p>
        </w:tc>
        <w:tc>
          <w:tcPr>
            <w:tcW w:w="1792" w:type="dxa"/>
          </w:tcPr>
          <w:p w14:paraId="00600246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递咖啡</w:t>
            </w:r>
          </w:p>
        </w:tc>
        <w:tc>
          <w:tcPr>
            <w:tcW w:w="1792" w:type="dxa"/>
          </w:tcPr>
          <w:p w14:paraId="04AEDC72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收起热情,说“再来一次”</w:t>
            </w:r>
          </w:p>
        </w:tc>
        <w:tc>
          <w:tcPr>
            <w:tcW w:w="1792" w:type="dxa"/>
          </w:tcPr>
          <w:p w14:paraId="2E206AF5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递纸巾,眼神鼓励</w:t>
            </w:r>
          </w:p>
        </w:tc>
        <w:tc>
          <w:tcPr>
            <w:tcW w:w="1792" w:type="dxa"/>
          </w:tcPr>
          <w:p w14:paraId="0A8BB89B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陪叹气,默默修好错误日志</w:t>
            </w:r>
          </w:p>
        </w:tc>
      </w:tr>
    </w:tbl>
    <w:p w14:paraId="5339C998">
      <w:pPr>
        <w:spacing w:after="40"/>
      </w:pPr>
    </w:p>
    <w:p w14:paraId="086021A5">
      <w:pPr>
        <w:pStyle w:val="4"/>
      </w:pPr>
      <w:r>
        <w:t>2.5 熊总已产出资产(标准件,其余三熊按同规格生产)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12658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28FEB439">
            <w:pPr>
              <w:jc w:val="center"/>
            </w:pPr>
            <w:r>
              <w:drawing>
                <wp:inline distT="0" distB="0" distL="114300" distR="114300">
                  <wp:extent cx="1259840" cy="12598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</w:tcPr>
          <w:p w14:paraId="3FF98FCA">
            <w:pPr>
              <w:jc w:val="center"/>
            </w:pPr>
            <w:r>
              <w:drawing>
                <wp:inline distT="0" distB="0" distL="114300" distR="114300">
                  <wp:extent cx="1259840" cy="12598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</w:tcPr>
          <w:p w14:paraId="1F30C567">
            <w:pPr>
              <w:jc w:val="center"/>
            </w:pPr>
            <w:r>
              <w:drawing>
                <wp:inline distT="0" distB="0" distL="114300" distR="114300">
                  <wp:extent cx="1259840" cy="125984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</w:tcPr>
          <w:p w14:paraId="469A6F10">
            <w:pPr>
              <w:jc w:val="center"/>
            </w:pPr>
            <w:r>
              <w:drawing>
                <wp:inline distT="0" distB="0" distL="114300" distR="114300">
                  <wp:extent cx="1259840" cy="12598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DCB106">
      <w:pPr>
        <w:jc w:val="center"/>
      </w:pPr>
      <w:r>
        <w:rPr>
          <w:rFonts w:ascii="Arial" w:hAnsi="Arial" w:eastAsia="微软雅黑"/>
          <w:b w:val="0"/>
          <w:color w:val="7D7A75"/>
          <w:sz w:val="18"/>
        </w:rPr>
        <w:t>图 2-1 熊总四视图(正 / 左 / 背 / 右)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1519"/>
        <w:gridCol w:w="1519"/>
        <w:gridCol w:w="1519"/>
        <w:gridCol w:w="1519"/>
        <w:gridCol w:w="1519"/>
      </w:tblGrid>
      <w:tr w14:paraId="05123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</w:tcPr>
          <w:p w14:paraId="6F189953">
            <w:pPr>
              <w:jc w:val="center"/>
            </w:pPr>
            <w:r>
              <w:drawing>
                <wp:inline distT="0" distB="0" distL="114300" distR="114300">
                  <wp:extent cx="827405" cy="82740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82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3" w:type="dxa"/>
          </w:tcPr>
          <w:p w14:paraId="743CDA88">
            <w:pPr>
              <w:jc w:val="center"/>
            </w:pPr>
            <w:r>
              <w:drawing>
                <wp:inline distT="0" distB="0" distL="114300" distR="114300">
                  <wp:extent cx="827405" cy="82740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82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3" w:type="dxa"/>
          </w:tcPr>
          <w:p w14:paraId="613EA74A">
            <w:pPr>
              <w:jc w:val="center"/>
            </w:pPr>
            <w:r>
              <w:drawing>
                <wp:inline distT="0" distB="0" distL="114300" distR="114300">
                  <wp:extent cx="827405" cy="82740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82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3" w:type="dxa"/>
          </w:tcPr>
          <w:p w14:paraId="63840B67">
            <w:pPr>
              <w:jc w:val="center"/>
            </w:pPr>
            <w:r>
              <w:drawing>
                <wp:inline distT="0" distB="0" distL="114300" distR="114300">
                  <wp:extent cx="827405" cy="82740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82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3" w:type="dxa"/>
          </w:tcPr>
          <w:p w14:paraId="27AC1FEA">
            <w:pPr>
              <w:jc w:val="center"/>
            </w:pPr>
            <w:r>
              <w:drawing>
                <wp:inline distT="0" distB="0" distL="114300" distR="114300">
                  <wp:extent cx="827405" cy="82740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82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3" w:type="dxa"/>
          </w:tcPr>
          <w:p w14:paraId="42044A50">
            <w:pPr>
              <w:jc w:val="center"/>
            </w:pPr>
            <w:r>
              <w:drawing>
                <wp:inline distT="0" distB="0" distL="114300" distR="114300">
                  <wp:extent cx="827405" cy="82740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82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139FCA">
      <w:pPr>
        <w:jc w:val="center"/>
      </w:pPr>
      <w:r>
        <w:rPr>
          <w:rFonts w:ascii="Arial" w:hAnsi="Arial" w:eastAsia="微软雅黑"/>
          <w:b w:val="0"/>
          <w:color w:val="7D7A75"/>
          <w:sz w:val="18"/>
        </w:rPr>
        <w:t>图 2-2 基础表情库(6)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747"/>
        <w:gridCol w:w="1492"/>
        <w:gridCol w:w="1494"/>
        <w:gridCol w:w="745"/>
        <w:gridCol w:w="2239"/>
        <w:gridCol w:w="2"/>
      </w:tblGrid>
      <w:tr w14:paraId="286DE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2239" w:type="dxa"/>
          </w:tcPr>
          <w:p w14:paraId="0583C824">
            <w:pPr>
              <w:jc w:val="center"/>
            </w:pPr>
            <w:r>
              <w:drawing>
                <wp:inline distT="0" distB="0" distL="114300" distR="114300">
                  <wp:extent cx="827405" cy="82740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82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  <w:gridSpan w:val="2"/>
          </w:tcPr>
          <w:p w14:paraId="0D8D3DF5">
            <w:pPr>
              <w:jc w:val="center"/>
            </w:pPr>
            <w:r>
              <w:drawing>
                <wp:inline distT="0" distB="0" distL="114300" distR="114300">
                  <wp:extent cx="827405" cy="82740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82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  <w:gridSpan w:val="2"/>
          </w:tcPr>
          <w:p w14:paraId="20481368">
            <w:pPr>
              <w:jc w:val="center"/>
            </w:pPr>
            <w:r>
              <w:drawing>
                <wp:inline distT="0" distB="0" distL="114300" distR="114300">
                  <wp:extent cx="827405" cy="82740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82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</w:tcPr>
          <w:p w14:paraId="2B817CEF">
            <w:pPr>
              <w:jc w:val="center"/>
            </w:pPr>
            <w:r>
              <w:drawing>
                <wp:inline distT="0" distB="0" distL="114300" distR="114300">
                  <wp:extent cx="827405" cy="82740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82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84E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  <w:gridSpan w:val="2"/>
          </w:tcPr>
          <w:p w14:paraId="23E1034B">
            <w:pPr>
              <w:jc w:val="center"/>
            </w:pPr>
            <w:r>
              <w:drawing>
                <wp:inline distT="0" distB="0" distL="114300" distR="114300">
                  <wp:extent cx="827405" cy="82740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82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6" w:type="dxa"/>
            <w:gridSpan w:val="2"/>
          </w:tcPr>
          <w:p w14:paraId="56187198">
            <w:pPr>
              <w:jc w:val="center"/>
            </w:pPr>
            <w:r>
              <w:drawing>
                <wp:inline distT="0" distB="0" distL="114300" distR="114300">
                  <wp:extent cx="827405" cy="82740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82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6" w:type="dxa"/>
            <w:gridSpan w:val="3"/>
          </w:tcPr>
          <w:p w14:paraId="785417FB">
            <w:pPr>
              <w:jc w:val="center"/>
            </w:pPr>
            <w:r>
              <w:drawing>
                <wp:inline distT="0" distB="0" distL="114300" distR="114300">
                  <wp:extent cx="827405" cy="82740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82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07152">
      <w:pPr>
        <w:jc w:val="center"/>
      </w:pPr>
      <w:r>
        <w:rPr>
          <w:rFonts w:ascii="Arial" w:hAnsi="Arial" w:eastAsia="微软雅黑"/>
          <w:b w:val="0"/>
          <w:color w:val="7D7A75"/>
          <w:sz w:val="18"/>
        </w:rPr>
        <w:t>图 2-3 动作关键姿势库(7):挠头 / 哈欠两阶段 / 整理领带两阶段 / 侧目 / 专注</w:t>
      </w:r>
    </w:p>
    <w:p w14:paraId="4D54BBAD">
      <w:pPr>
        <w:pStyle w:val="4"/>
      </w:pPr>
      <w:r>
        <w:t>2.6 制作管线与成本</w:t>
      </w:r>
    </w:p>
    <w:p w14:paraId="4F92BB06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工具:Blender 建模绑定(Rigify + Shape Keys),Substance Painter 教育版或 Quixel Mixer 做材质;</w:t>
      </w:r>
    </w:p>
    <w:p w14:paraId="4AD09AC8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成本:四熊共享骨骼、绑定、表情规则、渲染管线,只做头/服/配饰差异,总成本约 1+0.3×3;</w:t>
      </w:r>
    </w:p>
    <w:p w14:paraId="1E373D11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排期:熊总 D3-D10 全流程验证管线,其余三熊 D11-D13 批量衍生;</w:t>
      </w:r>
    </w:p>
    <w:p w14:paraId="62076809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材质参数:毛发 Roughness 0.6 / 西装织纹 Normal 0.3、Roughness 0.75 / 皮革 Roughness 0.35 / 眼镜 Metallic 1.0 Roughness 0.25 / 镜片 Transmission 0.9。</w:t>
      </w:r>
    </w:p>
    <w:p w14:paraId="58AE9EC1">
      <w:r>
        <w:br w:type="page"/>
      </w:r>
    </w:p>
    <w:p w14:paraId="117D081E">
      <w:pPr>
        <w:pStyle w:val="3"/>
      </w:pPr>
      <w:r>
        <w:t>三、视觉规范</w:t>
      </w:r>
    </w:p>
    <w:p w14:paraId="0B59A9C3">
      <w:pPr>
        <w:pStyle w:val="4"/>
      </w:pPr>
      <w:r>
        <w:t>3.1 色彩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71DC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  <w:shd w:val="clear" w:color="auto" w:fill="8A5A33"/>
          </w:tcPr>
          <w:p w14:paraId="27634D40">
            <w:r>
              <w:rPr>
                <w:rFonts w:ascii="Arial" w:hAnsi="Arial" w:eastAsia="微软雅黑"/>
                <w:b/>
                <w:color w:val="FFFFFF"/>
                <w:sz w:val="19"/>
              </w:rPr>
              <w:t>UI 用途</w:t>
            </w:r>
          </w:p>
        </w:tc>
        <w:tc>
          <w:tcPr>
            <w:tcW w:w="4479" w:type="dxa"/>
            <w:shd w:val="clear" w:color="auto" w:fill="8A5A33"/>
          </w:tcPr>
          <w:p w14:paraId="7ED9E550">
            <w:r>
              <w:rPr>
                <w:rFonts w:ascii="Arial" w:hAnsi="Arial" w:eastAsia="微软雅黑"/>
                <w:b/>
                <w:color w:val="FFFFFF"/>
                <w:sz w:val="19"/>
              </w:rPr>
              <w:t>色值</w:t>
            </w:r>
          </w:p>
        </w:tc>
      </w:tr>
      <w:tr w14:paraId="69DBD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</w:tcPr>
          <w:p w14:paraId="24BDAC82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画布暖白</w:t>
            </w:r>
          </w:p>
        </w:tc>
        <w:tc>
          <w:tcPr>
            <w:tcW w:w="4479" w:type="dxa"/>
          </w:tcPr>
          <w:p w14:paraId="7319BAF7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#FAF7F2</w:t>
            </w:r>
          </w:p>
        </w:tc>
      </w:tr>
      <w:tr w14:paraId="6EAD8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</w:tcPr>
          <w:p w14:paraId="7E37FA58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主文字墨灰</w:t>
            </w:r>
          </w:p>
        </w:tc>
        <w:tc>
          <w:tcPr>
            <w:tcW w:w="4479" w:type="dxa"/>
          </w:tcPr>
          <w:p w14:paraId="4A1602A6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#2C2C2B</w:t>
            </w:r>
          </w:p>
        </w:tc>
      </w:tr>
      <w:tr w14:paraId="3C619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</w:tcPr>
          <w:p w14:paraId="1237B53C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次文字灰</w:t>
            </w:r>
          </w:p>
        </w:tc>
        <w:tc>
          <w:tcPr>
            <w:tcW w:w="4479" w:type="dxa"/>
          </w:tcPr>
          <w:p w14:paraId="625F8ACE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#7D7A75</w:t>
            </w:r>
          </w:p>
        </w:tc>
      </w:tr>
      <w:tr w14:paraId="2A346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</w:tcPr>
          <w:p w14:paraId="4CB2B6F3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主按钮职业蓝</w:t>
            </w:r>
          </w:p>
        </w:tc>
        <w:tc>
          <w:tcPr>
            <w:tcW w:w="4479" w:type="dxa"/>
          </w:tcPr>
          <w:p w14:paraId="54E9DD45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#2783DE</w:t>
            </w:r>
          </w:p>
        </w:tc>
      </w:tr>
      <w:tr w14:paraId="653C8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</w:tcPr>
          <w:p w14:paraId="26DD9617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正向成长绿</w:t>
            </w:r>
          </w:p>
        </w:tc>
        <w:tc>
          <w:tcPr>
            <w:tcW w:w="4479" w:type="dxa"/>
          </w:tcPr>
          <w:p w14:paraId="654844D7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#46A171</w:t>
            </w:r>
          </w:p>
        </w:tc>
      </w:tr>
      <w:tr w14:paraId="46306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</w:tcPr>
          <w:p w14:paraId="0369EFE0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注意橙</w:t>
            </w:r>
          </w:p>
        </w:tc>
        <w:tc>
          <w:tcPr>
            <w:tcW w:w="4479" w:type="dxa"/>
          </w:tcPr>
          <w:p w14:paraId="0DC9C08D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#D5803B</w:t>
            </w:r>
          </w:p>
        </w:tc>
      </w:tr>
      <w:tr w14:paraId="7EA18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79" w:type="dxa"/>
          </w:tcPr>
          <w:p w14:paraId="074F0993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记忆金(“被记住”专属)</w:t>
            </w:r>
          </w:p>
        </w:tc>
        <w:tc>
          <w:tcPr>
            <w:tcW w:w="4479" w:type="dxa"/>
          </w:tcPr>
          <w:p w14:paraId="522DA52F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#EAC26B</w:t>
            </w:r>
          </w:p>
        </w:tc>
      </w:tr>
    </w:tbl>
    <w:p w14:paraId="0E4453F4">
      <w:pPr>
        <w:spacing w:after="40"/>
      </w:pPr>
    </w:p>
    <w:p w14:paraId="49BB7C65">
      <w:r>
        <w:rPr>
          <w:rFonts w:ascii="Arial" w:hAnsi="Arial" w:eastAsia="微软雅黑"/>
          <w:b w:val="0"/>
          <w:color w:val="2C2C2B"/>
          <w:sz w:val="21"/>
        </w:rPr>
        <w:t>铁律:单界面彩色 ≤3 种;角色说话时对话气泡描边泛其标志色;失败场景不用红色。</w:t>
      </w:r>
    </w:p>
    <w:p w14:paraId="7014D0AF">
      <w:pPr>
        <w:pStyle w:val="4"/>
      </w:pPr>
      <w:r>
        <w:t>3.2 字体与形状</w:t>
      </w:r>
    </w:p>
    <w:p w14:paraId="3BB55433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标题思源黑体 Bold,正文思源黑体 Regular,数字 Inter/Arial,记忆墙便签用手写体(站酷快乐体,仅此处);</w:t>
      </w:r>
    </w:p>
    <w:p w14:paraId="46AA80BF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字阶:32 / 24 / 20 / 16 / 14 / 12 px,对话不小于 16px;</w:t>
      </w:r>
    </w:p>
    <w:p w14:paraId="7527CFED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圆角:卡片 12、按钮 10、便签 2;阴影只一层 0 2px 8px rgba(0,0,0,0.08),洽谈区可加深到 0.12;间距全部 8 的倍数。</w:t>
      </w:r>
    </w:p>
    <w:p w14:paraId="78188F09">
      <w:pPr>
        <w:pStyle w:val="3"/>
      </w:pPr>
      <w:r>
        <w:t>四、场景与“我懂你”可视化</w:t>
      </w:r>
    </w:p>
    <w:p w14:paraId="1608C1F6">
      <w:pPr>
        <w:pStyle w:val="4"/>
      </w:pPr>
      <w:r>
        <w:t>4.1 布局:一张关系地图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0435C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  <w:shd w:val="clear" w:color="auto" w:fill="8A5A33"/>
          </w:tcPr>
          <w:p w14:paraId="06A0F08D">
            <w:r>
              <w:rPr>
                <w:rFonts w:ascii="Arial" w:hAnsi="Arial" w:eastAsia="微软雅黑"/>
                <w:b/>
                <w:color w:val="FFFFFF"/>
                <w:sz w:val="19"/>
              </w:rPr>
              <w:t>区域</w:t>
            </w:r>
          </w:p>
        </w:tc>
        <w:tc>
          <w:tcPr>
            <w:tcW w:w="2986" w:type="dxa"/>
            <w:shd w:val="clear" w:color="auto" w:fill="8A5A33"/>
          </w:tcPr>
          <w:p w14:paraId="757AF42D">
            <w:r>
              <w:rPr>
                <w:rFonts w:ascii="Arial" w:hAnsi="Arial" w:eastAsia="微软雅黑"/>
                <w:b/>
                <w:color w:val="FFFFFF"/>
                <w:sz w:val="19"/>
              </w:rPr>
              <w:t>常驻角色</w:t>
            </w:r>
          </w:p>
        </w:tc>
        <w:tc>
          <w:tcPr>
            <w:tcW w:w="2986" w:type="dxa"/>
            <w:shd w:val="clear" w:color="auto" w:fill="8A5A33"/>
          </w:tcPr>
          <w:p w14:paraId="7911BC89">
            <w:r>
              <w:rPr>
                <w:rFonts w:ascii="Arial" w:hAnsi="Arial" w:eastAsia="微软雅黑"/>
                <w:b/>
                <w:color w:val="FFFFFF"/>
                <w:sz w:val="19"/>
              </w:rPr>
              <w:t>空间语言</w:t>
            </w:r>
          </w:p>
        </w:tc>
      </w:tr>
      <w:tr w14:paraId="31AF9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3B9D5DE7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开放工位区(中心)</w:t>
            </w:r>
          </w:p>
        </w:tc>
        <w:tc>
          <w:tcPr>
            <w:tcW w:w="2986" w:type="dxa"/>
          </w:tcPr>
          <w:p w14:paraId="7692F0A6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熊技术</w:t>
            </w:r>
          </w:p>
        </w:tc>
        <w:tc>
          <w:tcPr>
            <w:tcW w:w="2986" w:type="dxa"/>
          </w:tcPr>
          <w:p w14:paraId="3C00CA4B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最亮最暖,用户家位,屏幕光常亮</w:t>
            </w:r>
          </w:p>
        </w:tc>
      </w:tr>
      <w:tr w14:paraId="5D9A1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35CF69E9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洽谈区(右侧)</w:t>
            </w:r>
          </w:p>
        </w:tc>
        <w:tc>
          <w:tcPr>
            <w:tcW w:w="2986" w:type="dxa"/>
          </w:tcPr>
          <w:p w14:paraId="178D8FDD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熊销售</w:t>
            </w:r>
          </w:p>
        </w:tc>
        <w:tc>
          <w:tcPr>
            <w:tcW w:w="2986" w:type="dxa"/>
          </w:tcPr>
          <w:p w14:paraId="54930741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沙发+茶几,第二亮,制造距离压迫</w:t>
            </w:r>
          </w:p>
        </w:tc>
      </w:tr>
      <w:tr w14:paraId="7B3CE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5950768C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休息区/咖啡角(左前)</w:t>
            </w:r>
          </w:p>
        </w:tc>
        <w:tc>
          <w:tcPr>
            <w:tcW w:w="2986" w:type="dxa"/>
          </w:tcPr>
          <w:p w14:paraId="4CB94710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熊行政</w:t>
            </w:r>
          </w:p>
        </w:tc>
        <w:tc>
          <w:tcPr>
            <w:tcW w:w="2986" w:type="dxa"/>
          </w:tcPr>
          <w:p w14:paraId="0B79E559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柔光绿植,失败后被接住的地方</w:t>
            </w:r>
          </w:p>
        </w:tc>
      </w:tr>
      <w:tr w14:paraId="19A3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15DDFCFA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主管区(后景高位)</w:t>
            </w:r>
          </w:p>
        </w:tc>
        <w:tc>
          <w:tcPr>
            <w:tcW w:w="2986" w:type="dxa"/>
          </w:tcPr>
          <w:p w14:paraId="7B655EC2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熊总</w:t>
            </w:r>
          </w:p>
        </w:tc>
        <w:tc>
          <w:tcPr>
            <w:tcW w:w="2986" w:type="dxa"/>
          </w:tcPr>
          <w:p w14:paraId="528F9CC9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高两级台阶,权威但不遥远</w:t>
            </w:r>
          </w:p>
        </w:tc>
      </w:tr>
      <w:tr w14:paraId="754B7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5CDC90B0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记忆墙(后墙正中+射灯)</w:t>
            </w:r>
          </w:p>
        </w:tc>
        <w:tc>
          <w:tcPr>
            <w:tcW w:w="2986" w:type="dxa"/>
          </w:tcPr>
          <w:p w14:paraId="3E8E12D6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熊行政看守</w:t>
            </w:r>
          </w:p>
        </w:tc>
        <w:tc>
          <w:tcPr>
            <w:tcW w:w="2986" w:type="dxa"/>
          </w:tcPr>
          <w:p w14:paraId="23DEAA6A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第二视觉焦点,熊行政常驻足</w:t>
            </w:r>
          </w:p>
        </w:tc>
      </w:tr>
    </w:tbl>
    <w:p w14:paraId="31008571">
      <w:pPr>
        <w:spacing w:after="40"/>
      </w:pPr>
    </w:p>
    <w:p w14:paraId="3F6781B6">
      <w:pPr>
        <w:spacing w:after="40"/>
      </w:pPr>
    </w:p>
    <w:p w14:paraId="2B011BF8">
      <w:pPr>
        <w:pStyle w:val="4"/>
      </w:pPr>
      <w:r>
        <w:t>4.2 技术规格</w:t>
      </w:r>
    </w:p>
    <w:p w14:paraId="34938337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正交相机 Rotation (X30°, Y45°);整场景 ≤3 万 tris,物件只做镜头朝向面;</w:t>
      </w:r>
    </w:p>
    <w:p w14:paraId="538AACE0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Lightmap 全烘焙,无实时光;Bloom 阈值 1.1 强度 0.3;AO 半径 0.5;</w:t>
      </w:r>
    </w:p>
    <w:p w14:paraId="32F4FD1A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日夜三态:白天 5500K / 黄昏 4000K / 夜晚窗外蓝紫 #3A4A7A + 台灯 #FFD9A0;用户选择加班时 10s 渐变入夜,熊技术打哈欠配合。</w:t>
      </w:r>
    </w:p>
    <w:p w14:paraId="7A970DAD">
      <w:pPr>
        <w:pStyle w:val="4"/>
      </w:pPr>
      <w:r>
        <w:t>4.3 记忆墙</w:t>
      </w:r>
    </w:p>
    <w:p w14:paraId="3C84B0E9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三层内容:手写便签(行为标签)、拍立得照片(关键场景自动截图)、金边徽章(能力认证);</w:t>
      </w:r>
    </w:p>
    <w:p w14:paraId="47BE2076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生成规则:连续两次先倾听→蓝便签“值得信赖的倾听者”;重试 ≥2 次后完成→金徽章“韧性”;帮助同事→照片“那次伸手”;会议主动发言→黄便签“表达者”;</w:t>
      </w:r>
    </w:p>
    <w:p w14:paraId="7C96C0AB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动效:新便签 0.3s 弹入贴上墙 + 贴纸音效;熊行政偶尔驻足。</w:t>
      </w:r>
    </w:p>
    <w:p w14:paraId="6D98B0DA">
      <w:pPr>
        <w:pStyle w:val="4"/>
      </w:pPr>
      <w:r>
        <w:t>4.4 注视反馈与情绪反馈</w:t>
      </w:r>
    </w:p>
    <w:p w14:paraId="042CB61C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注视:鼠标悬停选项时,眼球先动(快 80ms)、头部随后(±30°、阻尼 0.15s)、身体最后;3D 版用头部骨骼 LookAt,2.5D 版预制看左/中/右三状态切换;</w:t>
      </w:r>
    </w:p>
    <w:p w14:paraId="21B30E85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情绪:先情绪、后事实、给台阶;四熊反应按 2.4 表执行。</w:t>
      </w:r>
    </w:p>
    <w:p w14:paraId="1EB4B814">
      <w:r>
        <w:br w:type="page"/>
      </w:r>
    </w:p>
    <w:p w14:paraId="01DE1023">
      <w:pPr>
        <w:pStyle w:val="3"/>
      </w:pPr>
      <w:r>
        <w:t>五、UI 与动效</w:t>
      </w:r>
    </w:p>
    <w:p w14:paraId="12F0B9F3">
      <w:pPr>
        <w:pStyle w:val="4"/>
      </w:pPr>
      <w:r>
        <w:t>5.1 界面清单与要点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4FB51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  <w:shd w:val="clear" w:color="auto" w:fill="8A5A33"/>
          </w:tcPr>
          <w:p w14:paraId="1C5F5A94">
            <w:r>
              <w:rPr>
                <w:rFonts w:ascii="Arial" w:hAnsi="Arial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w="2986" w:type="dxa"/>
            <w:shd w:val="clear" w:color="auto" w:fill="8A5A33"/>
          </w:tcPr>
          <w:p w14:paraId="7C7ECA95">
            <w:r>
              <w:rPr>
                <w:rFonts w:ascii="Arial" w:hAnsi="Arial" w:eastAsia="微软雅黑"/>
                <w:b/>
                <w:color w:val="FFFFFF"/>
                <w:sz w:val="19"/>
              </w:rPr>
              <w:t>界面</w:t>
            </w:r>
          </w:p>
        </w:tc>
        <w:tc>
          <w:tcPr>
            <w:tcW w:w="2986" w:type="dxa"/>
            <w:shd w:val="clear" w:color="auto" w:fill="8A5A33"/>
          </w:tcPr>
          <w:p w14:paraId="61BCF38C">
            <w:r>
              <w:rPr>
                <w:rFonts w:ascii="Arial" w:hAnsi="Arial" w:eastAsia="微软雅黑"/>
                <w:b/>
                <w:color w:val="FFFFFF"/>
                <w:sz w:val="19"/>
              </w:rPr>
              <w:t>要点</w:t>
            </w:r>
          </w:p>
        </w:tc>
      </w:tr>
      <w:tr w14:paraId="072AF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1FE66D35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P0</w:t>
            </w:r>
          </w:p>
        </w:tc>
        <w:tc>
          <w:tcPr>
            <w:tcW w:w="2986" w:type="dxa"/>
          </w:tcPr>
          <w:p w14:paraId="2023057D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欢迎页</w:t>
            </w:r>
          </w:p>
        </w:tc>
        <w:tc>
          <w:tcPr>
            <w:tcW w:w="2986" w:type="dxa"/>
          </w:tcPr>
          <w:p w14:paraId="0DBDBF35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熊总全身立绘 + 一句话“终于等到你”,背景办公室压暗虚化</w:t>
            </w:r>
          </w:p>
        </w:tc>
      </w:tr>
      <w:tr w14:paraId="3EFD3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1ED624A7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P0</w:t>
            </w:r>
          </w:p>
        </w:tc>
        <w:tc>
          <w:tcPr>
            <w:tcW w:w="2986" w:type="dxa"/>
          </w:tcPr>
          <w:p w14:paraId="22AFC1B5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建档页</w:t>
            </w:r>
          </w:p>
        </w:tc>
        <w:tc>
          <w:tcPr>
            <w:tcW w:w="2986" w:type="dxa"/>
          </w:tcPr>
          <w:p w14:paraId="0B42370F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对话式表单,熊问一句答一句,禁止表格</w:t>
            </w:r>
          </w:p>
        </w:tc>
      </w:tr>
      <w:tr w14:paraId="2D222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4ADA76C8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P0</w:t>
            </w:r>
          </w:p>
        </w:tc>
        <w:tc>
          <w:tcPr>
            <w:tcW w:w="2986" w:type="dxa"/>
          </w:tcPr>
          <w:p w14:paraId="33CC8B36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职业选择页</w:t>
            </w:r>
          </w:p>
        </w:tc>
        <w:tc>
          <w:tcPr>
            <w:tcW w:w="2986" w:type="dxa"/>
          </w:tcPr>
          <w:p w14:paraId="71BAFDFA">
            <w:r>
              <w:rPr>
                <w:rFonts w:hint="eastAsia"/>
                <w:b w:val="0"/>
                <w:color w:val="2C2C2B"/>
                <w:sz w:val="19"/>
                <w:lang w:val="en-US" w:eastAsia="zh-CN"/>
              </w:rPr>
              <w:t>五</w:t>
            </w:r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张职业卡:主题色带 + 代表物件 + 一句职业印象 + 挑战标签</w:t>
            </w:r>
          </w:p>
        </w:tc>
      </w:tr>
      <w:tr w14:paraId="1F804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32DFBC6C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P0</w:t>
            </w:r>
          </w:p>
        </w:tc>
        <w:tc>
          <w:tcPr>
            <w:tcW w:w="2986" w:type="dxa"/>
          </w:tcPr>
          <w:p w14:paraId="6A966B83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任务对话页</w:t>
            </w:r>
          </w:p>
        </w:tc>
        <w:tc>
          <w:tcPr>
            <w:tcW w:w="2986" w:type="dxa"/>
          </w:tcPr>
          <w:p w14:paraId="2F3D4A07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上 2/3 场景下 1/3 对话;选项 ≤3;悬停选项触发角色注视</w:t>
            </w:r>
          </w:p>
        </w:tc>
      </w:tr>
      <w:tr w14:paraId="4770E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7BDAEFC4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P0</w:t>
            </w:r>
          </w:p>
        </w:tc>
        <w:tc>
          <w:tcPr>
            <w:tcW w:w="2986" w:type="dxa"/>
          </w:tcPr>
          <w:p w14:paraId="4381DF99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报告页</w:t>
            </w:r>
          </w:p>
        </w:tc>
        <w:tc>
          <w:tcPr>
            <w:tcW w:w="2986" w:type="dxa"/>
          </w:tcPr>
          <w:p w14:paraId="2942984C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四层:一句话人格印象 → 能力雷达(5-6 维)→ 行为证据 → 岗位建议(匹配度/原因/挑战/下一步)</w:t>
            </w:r>
          </w:p>
        </w:tc>
      </w:tr>
      <w:tr w14:paraId="3AB7A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236F9602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P1</w:t>
            </w:r>
          </w:p>
        </w:tc>
        <w:tc>
          <w:tcPr>
            <w:tcW w:w="2986" w:type="dxa"/>
          </w:tcPr>
          <w:p w14:paraId="7974D611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记忆墙特写 / 完成反馈 / 分享人格卡(640×840,称号+迷你雷达+二维码)</w:t>
            </w:r>
          </w:p>
        </w:tc>
        <w:tc>
          <w:tcPr>
            <w:tcW w:w="2986" w:type="dxa"/>
          </w:tcPr>
          <w:p w14:paraId="3E3BA90C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高保真,可静态演示</w:t>
            </w:r>
          </w:p>
        </w:tc>
      </w:tr>
      <w:tr w14:paraId="4684A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2C5B224A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P2</w:t>
            </w:r>
          </w:p>
        </w:tc>
        <w:tc>
          <w:tcPr>
            <w:tcW w:w="2986" w:type="dxa"/>
          </w:tcPr>
          <w:p w14:paraId="3223840F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订阅页 / B 端看板 / 设置页</w:t>
            </w:r>
          </w:p>
        </w:tc>
        <w:tc>
          <w:tcPr>
            <w:tcW w:w="2986" w:type="dxa"/>
          </w:tcPr>
          <w:p w14:paraId="266B1722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仅 PPT 概念稿,不开发</w:t>
            </w:r>
          </w:p>
        </w:tc>
      </w:tr>
    </w:tbl>
    <w:p w14:paraId="64CFA67B">
      <w:pPr>
        <w:spacing w:after="40"/>
      </w:pPr>
    </w:p>
    <w:p w14:paraId="13C3F188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文案:说人话,先肯定后建议,角色自称“我”不说“系统”。</w:t>
      </w:r>
    </w:p>
    <w:p w14:paraId="08C14401">
      <w:pPr>
        <w:pStyle w:val="4"/>
      </w:pPr>
      <w:r>
        <w:t>5.2 动效(三级)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270B2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  <w:shd w:val="clear" w:color="auto" w:fill="8A5A33"/>
          </w:tcPr>
          <w:p w14:paraId="7148A8FA">
            <w:r>
              <w:rPr>
                <w:rFonts w:ascii="Arial" w:hAnsi="Arial" w:eastAsia="微软雅黑"/>
                <w:b/>
                <w:color w:val="FFFFFF"/>
                <w:sz w:val="19"/>
              </w:rPr>
              <w:t>级别</w:t>
            </w:r>
          </w:p>
        </w:tc>
        <w:tc>
          <w:tcPr>
            <w:tcW w:w="2986" w:type="dxa"/>
            <w:shd w:val="clear" w:color="auto" w:fill="8A5A33"/>
          </w:tcPr>
          <w:p w14:paraId="28BDA729">
            <w:r>
              <w:rPr>
                <w:rFonts w:ascii="Arial" w:hAnsi="Arial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w="2986" w:type="dxa"/>
            <w:shd w:val="clear" w:color="auto" w:fill="8A5A33"/>
          </w:tcPr>
          <w:p w14:paraId="203F815F">
            <w:r>
              <w:rPr>
                <w:rFonts w:ascii="Arial" w:hAnsi="Arial" w:eastAsia="微软雅黑"/>
                <w:b/>
                <w:color w:val="FFFFFF"/>
                <w:sz w:val="19"/>
              </w:rPr>
              <w:t>参数</w:t>
            </w:r>
          </w:p>
        </w:tc>
      </w:tr>
      <w:tr w14:paraId="25933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30ACE030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常驻</w:t>
            </w:r>
          </w:p>
        </w:tc>
        <w:tc>
          <w:tcPr>
            <w:tcW w:w="2986" w:type="dxa"/>
          </w:tcPr>
          <w:p w14:paraId="08BEE950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呼吸、眨眼、耳尖微动、屏幕微光</w:t>
            </w:r>
          </w:p>
        </w:tc>
        <w:tc>
          <w:tcPr>
            <w:tcW w:w="2986" w:type="dxa"/>
          </w:tcPr>
          <w:p w14:paraId="518CEE89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呼吸 3.8s 循环;眨眼随机 3-6s</w:t>
            </w:r>
          </w:p>
        </w:tc>
      </w:tr>
      <w:tr w14:paraId="2F905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79B22BCB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交互</w:t>
            </w:r>
          </w:p>
        </w:tc>
        <w:tc>
          <w:tcPr>
            <w:tcW w:w="2986" w:type="dxa"/>
          </w:tcPr>
          <w:p w14:paraId="4F11307B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注视跟随、点头、便签上墙、悬停反馈</w:t>
            </w:r>
          </w:p>
        </w:tc>
        <w:tc>
          <w:tcPr>
            <w:tcW w:w="2986" w:type="dxa"/>
          </w:tcPr>
          <w:p w14:paraId="0A375C5B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0.2-0.5s ease-out;任何操作 0.5s 内有回应</w:t>
            </w:r>
          </w:p>
        </w:tc>
      </w:tr>
      <w:tr w14:paraId="50545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</w:tcPr>
          <w:p w14:paraId="2CBCEE67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节点</w:t>
            </w:r>
          </w:p>
        </w:tc>
        <w:tc>
          <w:tcPr>
            <w:tcW w:w="2986" w:type="dxa"/>
          </w:tcPr>
          <w:p w14:paraId="0F412513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能力提升金光(记忆金)、记忆墙更新、日夜切换</w:t>
            </w:r>
          </w:p>
        </w:tc>
        <w:tc>
          <w:tcPr>
            <w:tcW w:w="2986" w:type="dxa"/>
          </w:tcPr>
          <w:p w14:paraId="298D2542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1.5-10s 配音效,只在重要时刻出现</w:t>
            </w:r>
          </w:p>
        </w:tc>
      </w:tr>
    </w:tbl>
    <w:p w14:paraId="0E423EE2">
      <w:pPr>
        <w:spacing w:after="40"/>
      </w:pPr>
    </w:p>
    <w:p w14:paraId="0891E34E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红线:同屏粒子 &lt;200;鸿蒙端图片序列单动作 ≤24 帧;动效可在设置关闭;曲线统一进场 cubic-bezier(0.2,0.8,0.2,1)。</w:t>
      </w:r>
    </w:p>
    <w:p w14:paraId="2292B1B7">
      <w:pPr>
        <w:pStyle w:val="3"/>
      </w:pPr>
      <w:r>
        <w:t>六、鸿蒙端资产落地(双格式)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53927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  <w:shd w:val="clear" w:color="auto" w:fill="8A5A33"/>
          </w:tcPr>
          <w:p w14:paraId="64A4FF29">
            <w:r>
              <w:rPr>
                <w:rFonts w:ascii="Arial" w:hAnsi="Arial" w:eastAsia="微软雅黑"/>
                <w:b/>
                <w:color w:val="FFFFFF"/>
                <w:sz w:val="19"/>
              </w:rPr>
              <w:t>资产层</w:t>
            </w:r>
          </w:p>
        </w:tc>
        <w:tc>
          <w:tcPr>
            <w:tcW w:w="2239" w:type="dxa"/>
            <w:shd w:val="clear" w:color="auto" w:fill="8A5A33"/>
          </w:tcPr>
          <w:p w14:paraId="596ADE75">
            <w:r>
              <w:rPr>
                <w:rFonts w:ascii="Arial" w:hAnsi="Arial" w:eastAsia="微软雅黑"/>
                <w:b/>
                <w:color w:val="FFFFFF"/>
                <w:sz w:val="19"/>
              </w:rPr>
              <w:t>格式</w:t>
            </w:r>
          </w:p>
        </w:tc>
        <w:tc>
          <w:tcPr>
            <w:tcW w:w="2239" w:type="dxa"/>
            <w:shd w:val="clear" w:color="auto" w:fill="8A5A33"/>
          </w:tcPr>
          <w:p w14:paraId="78DB3D27">
            <w:r>
              <w:rPr>
                <w:rFonts w:ascii="Arial" w:hAnsi="Arial" w:eastAsia="微软雅黑"/>
                <w:b/>
                <w:color w:val="FFFFFF"/>
                <w:sz w:val="19"/>
              </w:rPr>
              <w:t>落地方式</w:t>
            </w:r>
          </w:p>
        </w:tc>
        <w:tc>
          <w:tcPr>
            <w:tcW w:w="2239" w:type="dxa"/>
            <w:shd w:val="clear" w:color="auto" w:fill="8A5A33"/>
          </w:tcPr>
          <w:p w14:paraId="71BA47F3">
            <w:r>
              <w:rPr>
                <w:rFonts w:ascii="Arial" w:hAnsi="Arial" w:eastAsia="微软雅黑"/>
                <w:b/>
                <w:color w:val="FFFFFF"/>
                <w:sz w:val="19"/>
              </w:rPr>
              <w:t>用途</w:t>
            </w:r>
          </w:p>
        </w:tc>
      </w:tr>
      <w:tr w14:paraId="33825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39BDE4A8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运行时资产(主线)</w:t>
            </w:r>
          </w:p>
        </w:tc>
        <w:tc>
          <w:tcPr>
            <w:tcW w:w="2239" w:type="dxa"/>
          </w:tcPr>
          <w:p w14:paraId="4EFBAC31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透明 PNG 序列 / Lottie</w:t>
            </w:r>
          </w:p>
        </w:tc>
        <w:tc>
          <w:tcPr>
            <w:tcW w:w="2239" w:type="dxa"/>
          </w:tcPr>
          <w:p w14:paraId="4D60510F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ArkUI ImageAnimator / Lottie 组件</w:t>
            </w:r>
          </w:p>
        </w:tc>
        <w:tc>
          <w:tcPr>
            <w:tcW w:w="2239" w:type="dxa"/>
          </w:tcPr>
          <w:p w14:paraId="7EB231B8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产品内待机、表情、动作</w:t>
            </w:r>
          </w:p>
        </w:tc>
      </w:tr>
      <w:tr w14:paraId="1ADCC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7E124B22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卡片资产</w:t>
            </w:r>
          </w:p>
        </w:tc>
        <w:tc>
          <w:tcPr>
            <w:tcW w:w="2239" w:type="dxa"/>
          </w:tcPr>
          <w:p w14:paraId="3282772A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静态卡 + 单帧动图</w:t>
            </w:r>
          </w:p>
        </w:tc>
        <w:tc>
          <w:tcPr>
            <w:tcW w:w="2239" w:type="dxa"/>
          </w:tcPr>
          <w:p w14:paraId="1A1F194D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元服务卡片</w:t>
            </w:r>
          </w:p>
        </w:tc>
        <w:tc>
          <w:tcPr>
            <w:tcW w:w="2239" w:type="dxa"/>
          </w:tcPr>
          <w:p w14:paraId="3C426028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人格卡分享,裂变入口</w:t>
            </w:r>
          </w:p>
        </w:tc>
      </w:tr>
      <w:tr w14:paraId="31D52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9" w:type="dxa"/>
          </w:tcPr>
          <w:p w14:paraId="1414DF33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展示资产</w:t>
            </w:r>
          </w:p>
        </w:tc>
        <w:tc>
          <w:tcPr>
            <w:tcW w:w="2239" w:type="dxa"/>
          </w:tcPr>
          <w:p w14:paraId="06BB19DF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GLB / 渲染视频</w:t>
            </w:r>
          </w:p>
        </w:tc>
        <w:tc>
          <w:tcPr>
            <w:tcW w:w="2239" w:type="dxa"/>
          </w:tcPr>
          <w:p w14:paraId="1A4B357F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团结引擎导出鸿蒙(可选)</w:t>
            </w:r>
          </w:p>
        </w:tc>
        <w:tc>
          <w:tcPr>
            <w:tcW w:w="2239" w:type="dxa"/>
          </w:tcPr>
          <w:p w14:paraId="294A9C1D">
            <w:r>
              <w:rPr>
                <w:rFonts w:ascii="Arial" w:hAnsi="Arial" w:eastAsia="微软雅黑"/>
                <w:b w:val="0"/>
                <w:color w:val="2C2C2B"/>
                <w:sz w:val="19"/>
              </w:rPr>
              <w:t>路演视频、展台</w:t>
            </w:r>
          </w:p>
        </w:tc>
      </w:tr>
    </w:tbl>
    <w:p w14:paraId="7C53A569">
      <w:pPr>
        <w:spacing w:after="40"/>
      </w:pPr>
    </w:p>
    <w:p w14:paraId="3602A4E3">
      <w:pPr>
        <w:pStyle w:val="16"/>
      </w:pPr>
      <w:r>
        <w:rPr>
          <w:rFonts w:ascii="Arial" w:hAnsi="Arial" w:eastAsia="微软雅黑"/>
          <w:b w:val="0"/>
          <w:color w:val="2C2C2B"/>
          <w:sz w:val="21"/>
        </w:rPr>
        <w:t>命名:角色_动作_帧号,如 zong_idle_001.png;前缀 zong / shou / xing / ji;单帧 512×512 起,序列打包图集。</w:t>
      </w:r>
    </w:p>
    <w:p w14:paraId="37208BEF">
      <w:pPr>
        <w:spacing w:after="40"/>
      </w:pPr>
    </w:p>
    <w:p w14:paraId="7C689102">
      <w:pPr>
        <w:pStyle w:val="3"/>
      </w:pPr>
      <w:r>
        <w:rPr>
          <w:rFonts w:hint="eastAsia" w:eastAsia="宋体"/>
          <w:lang w:val="en-US" w:eastAsia="zh-CN"/>
        </w:rPr>
        <w:t>七</w:t>
      </w:r>
      <w:r>
        <w:t>、验收清单</w:t>
      </w:r>
    </w:p>
    <w:p w14:paraId="073950A6">
      <w:r>
        <w:rPr>
          <w:rFonts w:ascii="Arial" w:hAnsi="Arial" w:eastAsia="微软雅黑"/>
          <w:b w:val="0"/>
          <w:color w:val="2C2C2B"/>
          <w:sz w:val="20"/>
        </w:rPr>
        <w:t>家族:四熊剪影测试通过 /  标志色唯一且 UI 联动正确</w:t>
      </w:r>
    </w:p>
    <w:p w14:paraId="30B1C5CF">
      <w:r>
        <w:rPr>
          <w:rFonts w:ascii="Arial" w:hAnsi="Arial" w:eastAsia="微软雅黑"/>
          <w:b w:val="0"/>
          <w:color w:val="2C2C2B"/>
          <w:sz w:val="20"/>
        </w:rPr>
        <w:t>体验:任何操作 0.5s 内有反馈 / 眼睛先动头随后 / 失败无红叉 / 记忆金专属 / 3 分钟演示链无加载。</w:t>
      </w:r>
    </w:p>
    <w:p w14:paraId="055229DF">
      <w:r>
        <w:br w:type="page"/>
      </w:r>
    </w:p>
    <w:p w14:paraId="06A48F87">
      <w:pPr>
        <w:pStyle w:val="3"/>
      </w:pPr>
      <w:r>
        <w:t>附录</w:t>
      </w:r>
    </w:p>
    <w:p w14:paraId="2BB4C255">
      <w:pPr>
        <w:pStyle w:val="4"/>
      </w:pPr>
      <w:r>
        <w:t>A. 已完成资产</w:t>
      </w:r>
    </w:p>
    <w:p w14:paraId="74AC7554">
      <w:r>
        <w:rPr>
          <w:rFonts w:ascii="Arial" w:hAnsi="Arial" w:eastAsia="微软雅黑"/>
          <w:b w:val="0"/>
          <w:color w:val="2C2C2B"/>
          <w:sz w:val="21"/>
        </w:rPr>
        <w:t>熊总主视觉(透明 PNG 1024)、四视图、表情 6 张、动作 7 张、透明图集 + manifest.json、离线预览 HTML(无网可演示)。</w:t>
      </w:r>
    </w:p>
    <w:p w14:paraId="6C523B9F">
      <w:pPr>
        <w:pStyle w:val="4"/>
      </w:pPr>
      <w:r>
        <w:t>B. AI 出图提示词锁(所有出图尾部必带)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3FC53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8" w:type="dxa"/>
            <w:shd w:val="clear" w:color="auto" w:fill="F0EFED"/>
          </w:tcPr>
          <w:p w14:paraId="7A7F6C6F">
            <w:r>
              <w:rPr>
                <w:rFonts w:ascii="Arial" w:hAnsi="Arial" w:eastAsia="微软雅黑"/>
                <w:b w:val="0"/>
                <w:color w:val="2C2C2B"/>
                <w:sz w:val="20"/>
              </w:rPr>
              <w:t>严格使用参考小熊身份:焦糖棕短绒毛、深棕内耳、奶油口鼻、金色方框眼镜、炭灰西装、白领带、左胸绿色叶形胸针、双手无物。不添加公文包/工牌/帽子/家具。固定正交三分之四视角,固定灯光,双脚锁定,不改变比例。新角色仅替换毛色/服饰/配饰描述。验收查:</w:t>
            </w:r>
            <w:r>
              <w:rPr>
                <w:rFonts w:hint="eastAsia"/>
                <w:b w:val="0"/>
                <w:color w:val="2C2C2B"/>
                <w:sz w:val="20"/>
                <w:lang w:val="en-US" w:eastAsia="zh-CN"/>
              </w:rPr>
              <w:t>配饰</w:t>
            </w:r>
            <w:bookmarkStart w:id="0" w:name="_GoBack"/>
            <w:bookmarkEnd w:id="0"/>
            <w:r>
              <w:rPr>
                <w:rFonts w:ascii="Arial" w:hAnsi="Arial" w:eastAsia="微软雅黑"/>
                <w:b w:val="0"/>
                <w:color w:val="2C2C2B"/>
                <w:sz w:val="20"/>
              </w:rPr>
              <w:t>未变形、</w:t>
            </w:r>
            <w:r>
              <w:rPr>
                <w:rFonts w:hint="eastAsia"/>
                <w:b w:val="0"/>
                <w:color w:val="2C2C2B"/>
                <w:sz w:val="20"/>
                <w:lang w:val="en-US" w:eastAsia="zh-CN"/>
              </w:rPr>
              <w:t>衣服</w:t>
            </w:r>
            <w:r>
              <w:rPr>
                <w:rFonts w:ascii="Arial" w:hAnsi="Arial" w:eastAsia="微软雅黑"/>
                <w:b w:val="0"/>
                <w:color w:val="2C2C2B"/>
                <w:sz w:val="20"/>
              </w:rPr>
              <w:t>未换边、手指无增生、脚不滑。</w:t>
            </w:r>
          </w:p>
        </w:tc>
      </w:tr>
    </w:tbl>
    <w:p w14:paraId="50670A05">
      <w:pPr>
        <w:spacing w:after="40"/>
      </w:pPr>
    </w:p>
    <w:p w14:paraId="56DBE654">
      <w:pPr>
        <w:pStyle w:val="4"/>
      </w:pPr>
      <w:r>
        <w:t>C. 工具(全免费)</w:t>
      </w:r>
    </w:p>
    <w:p w14:paraId="6E57DD24">
      <w:r>
        <w:rPr>
          <w:rFonts w:ascii="Arial" w:hAnsi="Arial" w:eastAsia="微软雅黑"/>
          <w:b w:val="0"/>
          <w:color w:val="2C2C2B"/>
          <w:sz w:val="21"/>
        </w:rPr>
        <w:t>Blender / SP 教育版或 Quixel Mixer / 团结引擎(可选) / Figma 教育版 / DevEco Studio / 即梦·可灵 / 剪映 / OBS。</w:t>
      </w:r>
    </w:p>
    <w:p w14:paraId="52419C01">
      <w:pPr>
        <w:pStyle w:val="4"/>
      </w:pPr>
      <w:r>
        <w:t>D. 初赛提交格式备忘</w:t>
      </w:r>
    </w:p>
    <w:p w14:paraId="7D0ADD30">
      <w:r>
        <w:rPr>
          <w:rFonts w:ascii="Arial" w:hAnsi="Arial" w:eastAsia="微软雅黑"/>
          <w:b w:val="0"/>
          <w:color w:val="2C2C2B"/>
          <w:sz w:val="21"/>
        </w:rPr>
        <w:t>宋体;标题二号粗体、一级三号粗体、二级四号粗体、三级小四粗体、正文五号;单倍行距;页边距上下 2.5cm 左右 3cm;页码底端外侧;主体 ≤20 页;PDF 命名“01-作品说明文档+参赛队伍名称”;插图表格按序编号。美术需随附:创意效果图、交互流程图、宣传海报(鼓励项)。</w:t>
      </w:r>
    </w:p>
    <w:sectPr>
      <w:footerReference r:id="rId5" w:type="default"/>
      <w:pgSz w:w="11906" w:h="16838"/>
      <w:pgMar w:top="1361" w:right="1474" w:bottom="1361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86D6E4">
    <w:pPr>
      <w:pStyle w:val="24"/>
      <w:jc w:val="center"/>
    </w:pPr>
    <w:r>
      <w:rPr>
        <w:rFonts w:ascii="Arial" w:hAnsi="Arial" w:eastAsia="微软雅黑"/>
        <w:b w:val="0"/>
        <w:color w:val="7D7A75"/>
        <w:sz w:val="16"/>
      </w:rPr>
      <w:t xml:space="preserve">《熊心壮职》美术设计方案 V2.2 ·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Arial" w:hAnsi="Arial" w:eastAsia="微软雅黑"/>
        <w:b w:val="0"/>
        <w:color w:val="7D7A75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5C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</w:pPr>
    <w:rPr>
      <w:rFonts w:ascii="Arial" w:hAnsi="Arial" w:eastAsia="微软雅黑" w:cstheme="minorBidi"/>
      <w:color w:val="2C2C2B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8A5A33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00"/>
      <w:outlineLvl w:val="1"/>
    </w:pPr>
    <w:rPr>
      <w:rFonts w:asciiTheme="majorHAnsi" w:hAnsiTheme="majorHAnsi" w:eastAsiaTheme="majorEastAsia" w:cstheme="majorBidi"/>
      <w:b/>
      <w:bCs/>
      <w:color w:val="8A5A33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Arial" w:hAnsi="Arial" w:eastAsia="微软雅黑"/>
      <w:color w:val="2C2C2B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../NUL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4089</Words>
  <Characters>4982</Characters>
  <Lines>0</Lines>
  <Paragraphs>0</Paragraphs>
  <TotalTime>5</TotalTime>
  <ScaleCrop>false</ScaleCrop>
  <LinksUpToDate>false</LinksUpToDate>
  <CharactersWithSpaces>5405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邹沈昊迪</cp:lastModifiedBy>
  <dcterms:modified xsi:type="dcterms:W3CDTF">2026-09-07T15:39:27Z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eyJoZGlkIjoiMzEwNTM5NzYwMDRjMzkwZTVkZjY2ODkwMGIxNGU0OTUiLCJ1c2VySWQiOiIxMDUzMDUxNzY4In0=</vt:lpwstr>
  </property>
  <property fmtid="{D5CDD505-2E9C-101B-9397-08002B2CF9AE}" pid="3" name="KSOProductBuildVer">
    <vt:lpwstr>2052-12.1.0.28505</vt:lpwstr>
  </property>
  <property fmtid="{D5CDD505-2E9C-101B-9397-08002B2CF9AE}" pid="4" name="ICV">
    <vt:lpwstr>C7DEE5851D5240FAADF15335A6F448D7_12</vt:lpwstr>
  </property>
</Properties>
</file>