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656A68" w14:textId="77777777" w:rsidR="00350542" w:rsidRDefault="00000000">
      <w:pPr>
        <w:jc w:val="center"/>
      </w:pPr>
      <w:r>
        <w:rPr>
          <w:b/>
          <w:sz w:val="36"/>
        </w:rPr>
        <w:t>CAHIER DES CHARGES FONCTIONNEL – APPLICATION MOBILE</w:t>
      </w:r>
    </w:p>
    <w:p w14:paraId="30AFDFA4" w14:textId="77777777" w:rsidR="00350542" w:rsidRDefault="00000000">
      <w:pPr>
        <w:jc w:val="center"/>
      </w:pPr>
      <w:r>
        <w:rPr>
          <w:i/>
        </w:rPr>
        <w:t>Projet de gestion et de reporting – élevage bovin d’engraissement</w:t>
      </w:r>
    </w:p>
    <w:p w14:paraId="66235178" w14:textId="77777777" w:rsidR="00350542" w:rsidRDefault="00000000">
      <w:pPr>
        <w:pStyle w:val="Titre1"/>
      </w:pPr>
      <w:r>
        <w:t>1. Objet du projet</w:t>
      </w:r>
    </w:p>
    <w:p w14:paraId="73F95FF4" w14:textId="77777777" w:rsidR="00350542" w:rsidRDefault="00000000">
      <w:r>
        <w:t>Concevoir une application mobile de gestion d’une activité d’achat, d’engraissement et de revente de bovins, permettant au gestionnaire de piloter l’exploitation et au bailleur de suivre périodiquement l’utilisation du financement, la performance et les principaux risques.</w:t>
      </w:r>
    </w:p>
    <w:p w14:paraId="40E2FB0B" w14:textId="77777777" w:rsidR="00350542" w:rsidRDefault="00000000">
      <w:pPr>
        <w:pStyle w:val="Titre1"/>
      </w:pPr>
      <w:r>
        <w:t>2. Profils utilisateurs</w:t>
      </w:r>
    </w:p>
    <w:tbl>
      <w:tblPr>
        <w:tblStyle w:val="Grilledutableau"/>
        <w:tblW w:w="0" w:type="auto"/>
        <w:jc w:val="center"/>
        <w:tblLook w:val="04A0" w:firstRow="1" w:lastRow="0" w:firstColumn="1" w:lastColumn="0" w:noHBand="0" w:noVBand="1"/>
      </w:tblPr>
      <w:tblGrid>
        <w:gridCol w:w="5112"/>
        <w:gridCol w:w="5112"/>
      </w:tblGrid>
      <w:tr w:rsidR="00350542" w14:paraId="3979ABB4" w14:textId="77777777">
        <w:trPr>
          <w:jc w:val="center"/>
        </w:trPr>
        <w:tc>
          <w:tcPr>
            <w:tcW w:w="5112" w:type="dxa"/>
            <w:vAlign w:val="center"/>
          </w:tcPr>
          <w:p w14:paraId="5EC5A1F2" w14:textId="77777777" w:rsidR="00350542" w:rsidRDefault="00000000">
            <w:r>
              <w:rPr>
                <w:b/>
              </w:rPr>
              <w:t>Profil</w:t>
            </w:r>
          </w:p>
        </w:tc>
        <w:tc>
          <w:tcPr>
            <w:tcW w:w="5112" w:type="dxa"/>
            <w:vAlign w:val="center"/>
          </w:tcPr>
          <w:p w14:paraId="5EE2AFA8" w14:textId="77777777" w:rsidR="00350542" w:rsidRDefault="00000000">
            <w:r>
              <w:rPr>
                <w:b/>
              </w:rPr>
              <w:t>Droits</w:t>
            </w:r>
          </w:p>
        </w:tc>
      </w:tr>
      <w:tr w:rsidR="00350542" w14:paraId="4D830537" w14:textId="77777777">
        <w:trPr>
          <w:jc w:val="center"/>
        </w:trPr>
        <w:tc>
          <w:tcPr>
            <w:tcW w:w="5112" w:type="dxa"/>
          </w:tcPr>
          <w:p w14:paraId="0BBCF2E8" w14:textId="77777777" w:rsidR="00350542" w:rsidRDefault="00000000">
            <w:r>
              <w:t>Éleveur / opérateur</w:t>
            </w:r>
          </w:p>
        </w:tc>
        <w:tc>
          <w:tcPr>
            <w:tcW w:w="5112" w:type="dxa"/>
          </w:tcPr>
          <w:p w14:paraId="6ABF71F0" w14:textId="77777777" w:rsidR="00350542" w:rsidRDefault="00000000">
            <w:r>
              <w:t>Saisie et consultation des opérations quotidiennes</w:t>
            </w:r>
          </w:p>
        </w:tc>
      </w:tr>
      <w:tr w:rsidR="00350542" w14:paraId="27DDE3C9" w14:textId="77777777">
        <w:trPr>
          <w:jc w:val="center"/>
        </w:trPr>
        <w:tc>
          <w:tcPr>
            <w:tcW w:w="5112" w:type="dxa"/>
          </w:tcPr>
          <w:p w14:paraId="366BE094" w14:textId="77777777" w:rsidR="00350542" w:rsidRDefault="00000000">
            <w:r>
              <w:t>Gérant / gestionnaire</w:t>
            </w:r>
          </w:p>
        </w:tc>
        <w:tc>
          <w:tcPr>
            <w:tcW w:w="5112" w:type="dxa"/>
          </w:tcPr>
          <w:p w14:paraId="6393602F" w14:textId="77777777" w:rsidR="00350542" w:rsidRDefault="00000000">
            <w:r>
              <w:t>Saisie, validation, pilotage, reporting et administration opérationnelle</w:t>
            </w:r>
          </w:p>
        </w:tc>
      </w:tr>
      <w:tr w:rsidR="00350542" w14:paraId="7307F7B5" w14:textId="77777777">
        <w:trPr>
          <w:jc w:val="center"/>
        </w:trPr>
        <w:tc>
          <w:tcPr>
            <w:tcW w:w="5112" w:type="dxa"/>
          </w:tcPr>
          <w:p w14:paraId="06786167" w14:textId="77777777" w:rsidR="00350542" w:rsidRDefault="00000000">
            <w:r>
              <w:t>Bailleur</w:t>
            </w:r>
          </w:p>
        </w:tc>
        <w:tc>
          <w:tcPr>
            <w:tcW w:w="5112" w:type="dxa"/>
          </w:tcPr>
          <w:p w14:paraId="533D558E" w14:textId="77777777" w:rsidR="00350542" w:rsidRDefault="00000000">
            <w:r>
              <w:t>Consultation des tableaux de bord et rapports, sans modification des données</w:t>
            </w:r>
          </w:p>
        </w:tc>
      </w:tr>
      <w:tr w:rsidR="00467A33" w14:paraId="6CF1F8A7" w14:textId="77777777" w:rsidTr="00467A33">
        <w:trPr>
          <w:trHeight w:val="304"/>
          <w:jc w:val="center"/>
        </w:trPr>
        <w:tc>
          <w:tcPr>
            <w:tcW w:w="5112" w:type="dxa"/>
          </w:tcPr>
          <w:p w14:paraId="395B87D4" w14:textId="2C5D1758" w:rsidR="00467A33" w:rsidRDefault="00467A33">
            <w:r>
              <w:t>Administrateur</w:t>
            </w:r>
          </w:p>
        </w:tc>
        <w:tc>
          <w:tcPr>
            <w:tcW w:w="5112" w:type="dxa"/>
          </w:tcPr>
          <w:p w14:paraId="0776A058" w14:textId="77777777" w:rsidR="00467A33" w:rsidRDefault="00467A33"/>
        </w:tc>
      </w:tr>
    </w:tbl>
    <w:p w14:paraId="13B6D3C4" w14:textId="77777777" w:rsidR="00350542" w:rsidRDefault="00000000">
      <w:pPr>
        <w:pStyle w:val="Titre1"/>
      </w:pPr>
      <w:r>
        <w:t>3. Fonctionnalités du MVP</w:t>
      </w:r>
    </w:p>
    <w:p w14:paraId="67E6C72A" w14:textId="5624AD66" w:rsidR="00350542" w:rsidRDefault="00000000">
      <w:pPr>
        <w:pStyle w:val="Listepuces"/>
      </w:pPr>
      <w:r>
        <w:t xml:space="preserve">Gestion du cheptel et </w:t>
      </w:r>
      <w:r w:rsidR="00467A33">
        <w:t xml:space="preserve">des </w:t>
      </w:r>
      <w:r>
        <w:t xml:space="preserve">fiches </w:t>
      </w:r>
      <w:r w:rsidR="00467A33">
        <w:t>bovines</w:t>
      </w:r>
      <w:r>
        <w:t>.</w:t>
      </w:r>
    </w:p>
    <w:p w14:paraId="1B73829B" w14:textId="77777777" w:rsidR="00350542" w:rsidRDefault="00000000">
      <w:pPr>
        <w:pStyle w:val="Listepuces"/>
      </w:pPr>
      <w:r>
        <w:t>Enregistrement des achats et entrées.</w:t>
      </w:r>
    </w:p>
    <w:p w14:paraId="396640D0" w14:textId="77777777" w:rsidR="00350542" w:rsidRDefault="00000000">
      <w:pPr>
        <w:pStyle w:val="Listepuces"/>
      </w:pPr>
      <w:r>
        <w:t>Enregistrement des ventes et sorties.</w:t>
      </w:r>
    </w:p>
    <w:p w14:paraId="22D13080" w14:textId="77777777" w:rsidR="00350542" w:rsidRDefault="00000000">
      <w:pPr>
        <w:pStyle w:val="Listepuces"/>
      </w:pPr>
      <w:r>
        <w:t>Gestion des aliments et imputation des coûts par tête.</w:t>
      </w:r>
    </w:p>
    <w:p w14:paraId="4E3E562C" w14:textId="77777777" w:rsidR="00350542" w:rsidRDefault="00000000">
      <w:pPr>
        <w:pStyle w:val="Listepuces"/>
      </w:pPr>
      <w:r>
        <w:t>Gestion des dépenses d’exploitation.</w:t>
      </w:r>
    </w:p>
    <w:p w14:paraId="487CAE40" w14:textId="77777777" w:rsidR="00350542" w:rsidRDefault="00000000">
      <w:pPr>
        <w:pStyle w:val="Listepuces"/>
      </w:pPr>
      <w:r>
        <w:t>Calcul automatique du coût de revient et de la marge.</w:t>
      </w:r>
    </w:p>
    <w:p w14:paraId="7235A60A" w14:textId="77777777" w:rsidR="00350542" w:rsidRDefault="00000000">
      <w:pPr>
        <w:pStyle w:val="Listepuces"/>
      </w:pPr>
      <w:r>
        <w:t>Suivi du financement et des échéances.</w:t>
      </w:r>
    </w:p>
    <w:p w14:paraId="0F2FB0D7" w14:textId="77777777" w:rsidR="00350542" w:rsidRDefault="00000000">
      <w:pPr>
        <w:pStyle w:val="Listepuces"/>
      </w:pPr>
      <w:r>
        <w:t>Tableau de bord mensuel.</w:t>
      </w:r>
    </w:p>
    <w:p w14:paraId="339FEE77" w14:textId="77777777" w:rsidR="00350542" w:rsidRDefault="00000000">
      <w:pPr>
        <w:pStyle w:val="Listepuces"/>
      </w:pPr>
      <w:r>
        <w:t>Rapport bailleur exportable en PDF.</w:t>
      </w:r>
    </w:p>
    <w:p w14:paraId="198C1437" w14:textId="77777777" w:rsidR="00350542" w:rsidRDefault="00000000">
      <w:pPr>
        <w:pStyle w:val="Listepuces"/>
      </w:pPr>
      <w:r>
        <w:t>Historique des opérations et journal des modifications.</w:t>
      </w:r>
    </w:p>
    <w:p w14:paraId="2DF03250" w14:textId="77777777" w:rsidR="00350542" w:rsidRDefault="00000000">
      <w:pPr>
        <w:pStyle w:val="Titre1"/>
      </w:pPr>
      <w:r>
        <w:t>4. Données minimales d’une fiche bovin</w:t>
      </w:r>
    </w:p>
    <w:tbl>
      <w:tblPr>
        <w:tblStyle w:val="Grilledutableau"/>
        <w:tblW w:w="0" w:type="auto"/>
        <w:jc w:val="center"/>
        <w:tblLook w:val="04A0" w:firstRow="1" w:lastRow="0" w:firstColumn="1" w:lastColumn="0" w:noHBand="0" w:noVBand="1"/>
      </w:tblPr>
      <w:tblGrid>
        <w:gridCol w:w="5112"/>
        <w:gridCol w:w="5112"/>
      </w:tblGrid>
      <w:tr w:rsidR="00350542" w14:paraId="668B8671" w14:textId="77777777">
        <w:trPr>
          <w:jc w:val="center"/>
        </w:trPr>
        <w:tc>
          <w:tcPr>
            <w:tcW w:w="5112" w:type="dxa"/>
            <w:vAlign w:val="center"/>
          </w:tcPr>
          <w:p w14:paraId="72C6E09B" w14:textId="77777777" w:rsidR="00350542" w:rsidRDefault="00000000">
            <w:r>
              <w:rPr>
                <w:b/>
              </w:rPr>
              <w:t>Donnée</w:t>
            </w:r>
          </w:p>
        </w:tc>
        <w:tc>
          <w:tcPr>
            <w:tcW w:w="5112" w:type="dxa"/>
            <w:vAlign w:val="center"/>
          </w:tcPr>
          <w:p w14:paraId="52A38754" w14:textId="77777777" w:rsidR="00350542" w:rsidRDefault="00000000">
            <w:r>
              <w:rPr>
                <w:b/>
              </w:rPr>
              <w:t>Exemple</w:t>
            </w:r>
          </w:p>
        </w:tc>
      </w:tr>
      <w:tr w:rsidR="00350542" w14:paraId="27651A64" w14:textId="77777777">
        <w:trPr>
          <w:jc w:val="center"/>
        </w:trPr>
        <w:tc>
          <w:tcPr>
            <w:tcW w:w="5112" w:type="dxa"/>
          </w:tcPr>
          <w:p w14:paraId="11B19098" w14:textId="77777777" w:rsidR="00350542" w:rsidRDefault="00000000">
            <w:r>
              <w:t>Identifiant</w:t>
            </w:r>
          </w:p>
        </w:tc>
        <w:tc>
          <w:tcPr>
            <w:tcW w:w="5112" w:type="dxa"/>
          </w:tcPr>
          <w:p w14:paraId="6404CE24" w14:textId="77777777" w:rsidR="00350542" w:rsidRDefault="00000000">
            <w:r>
              <w:t>BOV-001</w:t>
            </w:r>
          </w:p>
        </w:tc>
      </w:tr>
      <w:tr w:rsidR="00350542" w14:paraId="45F21B24" w14:textId="77777777">
        <w:trPr>
          <w:jc w:val="center"/>
        </w:trPr>
        <w:tc>
          <w:tcPr>
            <w:tcW w:w="5112" w:type="dxa"/>
          </w:tcPr>
          <w:p w14:paraId="6CB2239A" w14:textId="77777777" w:rsidR="00350542" w:rsidRDefault="00000000">
            <w:r>
              <w:t>Date d’achat</w:t>
            </w:r>
          </w:p>
        </w:tc>
        <w:tc>
          <w:tcPr>
            <w:tcW w:w="5112" w:type="dxa"/>
          </w:tcPr>
          <w:p w14:paraId="090CAA68" w14:textId="77777777" w:rsidR="00350542" w:rsidRDefault="00000000">
            <w:r>
              <w:t>JJ/MM/AAAA</w:t>
            </w:r>
          </w:p>
        </w:tc>
      </w:tr>
      <w:tr w:rsidR="00350542" w14:paraId="674B6EF3" w14:textId="77777777">
        <w:trPr>
          <w:jc w:val="center"/>
        </w:trPr>
        <w:tc>
          <w:tcPr>
            <w:tcW w:w="5112" w:type="dxa"/>
          </w:tcPr>
          <w:p w14:paraId="7408193A" w14:textId="77777777" w:rsidR="00350542" w:rsidRDefault="00000000">
            <w:r>
              <w:t>Prix d’achat</w:t>
            </w:r>
          </w:p>
        </w:tc>
        <w:tc>
          <w:tcPr>
            <w:tcW w:w="5112" w:type="dxa"/>
          </w:tcPr>
          <w:p w14:paraId="75BCCE83" w14:textId="77777777" w:rsidR="00350542" w:rsidRDefault="00000000">
            <w:r>
              <w:t>450 000 FCFA</w:t>
            </w:r>
          </w:p>
        </w:tc>
      </w:tr>
      <w:tr w:rsidR="00350542" w14:paraId="79A79C87" w14:textId="77777777">
        <w:trPr>
          <w:jc w:val="center"/>
        </w:trPr>
        <w:tc>
          <w:tcPr>
            <w:tcW w:w="5112" w:type="dxa"/>
          </w:tcPr>
          <w:p w14:paraId="53EC47C1" w14:textId="77777777" w:rsidR="00350542" w:rsidRDefault="00000000">
            <w:r>
              <w:t>Statut</w:t>
            </w:r>
          </w:p>
        </w:tc>
        <w:tc>
          <w:tcPr>
            <w:tcW w:w="5112" w:type="dxa"/>
          </w:tcPr>
          <w:p w14:paraId="2A898B09" w14:textId="77777777" w:rsidR="00350542" w:rsidRDefault="00000000">
            <w:r>
              <w:t>En engraissement / vendu</w:t>
            </w:r>
          </w:p>
        </w:tc>
      </w:tr>
      <w:tr w:rsidR="00350542" w14:paraId="20D91B7E" w14:textId="77777777">
        <w:trPr>
          <w:jc w:val="center"/>
        </w:trPr>
        <w:tc>
          <w:tcPr>
            <w:tcW w:w="5112" w:type="dxa"/>
          </w:tcPr>
          <w:p w14:paraId="2E2CD317" w14:textId="77777777" w:rsidR="00350542" w:rsidRDefault="00000000">
            <w:r>
              <w:t>Coûts d’engraissement</w:t>
            </w:r>
          </w:p>
        </w:tc>
        <w:tc>
          <w:tcPr>
            <w:tcW w:w="5112" w:type="dxa"/>
          </w:tcPr>
          <w:p w14:paraId="08AAF080" w14:textId="77777777" w:rsidR="00350542" w:rsidRDefault="00000000">
            <w:r>
              <w:t>Cumul automatique</w:t>
            </w:r>
          </w:p>
        </w:tc>
      </w:tr>
      <w:tr w:rsidR="00350542" w14:paraId="3C5FAF3C" w14:textId="77777777">
        <w:trPr>
          <w:jc w:val="center"/>
        </w:trPr>
        <w:tc>
          <w:tcPr>
            <w:tcW w:w="5112" w:type="dxa"/>
          </w:tcPr>
          <w:p w14:paraId="44008511" w14:textId="77777777" w:rsidR="00350542" w:rsidRDefault="00000000">
            <w:r>
              <w:t>Prix de vente</w:t>
            </w:r>
          </w:p>
        </w:tc>
        <w:tc>
          <w:tcPr>
            <w:tcW w:w="5112" w:type="dxa"/>
          </w:tcPr>
          <w:p w14:paraId="62FDC446" w14:textId="77777777" w:rsidR="00350542" w:rsidRDefault="00000000">
            <w:r>
              <w:t>À renseigner à la sortie</w:t>
            </w:r>
          </w:p>
        </w:tc>
      </w:tr>
      <w:tr w:rsidR="00350542" w14:paraId="5DCE3D46" w14:textId="77777777">
        <w:trPr>
          <w:jc w:val="center"/>
        </w:trPr>
        <w:tc>
          <w:tcPr>
            <w:tcW w:w="5112" w:type="dxa"/>
          </w:tcPr>
          <w:p w14:paraId="3DD269AA" w14:textId="77777777" w:rsidR="00350542" w:rsidRDefault="00000000">
            <w:r>
              <w:t>Marge</w:t>
            </w:r>
          </w:p>
        </w:tc>
        <w:tc>
          <w:tcPr>
            <w:tcW w:w="5112" w:type="dxa"/>
          </w:tcPr>
          <w:p w14:paraId="4C2C6291" w14:textId="77777777" w:rsidR="00350542" w:rsidRDefault="00000000">
            <w:r>
              <w:t>Calcul automatique</w:t>
            </w:r>
          </w:p>
        </w:tc>
      </w:tr>
    </w:tbl>
    <w:p w14:paraId="4C119626" w14:textId="77777777" w:rsidR="00350542" w:rsidRDefault="00000000">
      <w:pPr>
        <w:pStyle w:val="Titre1"/>
      </w:pPr>
      <w:r>
        <w:t>5. Processus alimentation</w:t>
      </w:r>
    </w:p>
    <w:p w14:paraId="59BA02F9" w14:textId="77777777" w:rsidR="00350542" w:rsidRDefault="00000000">
      <w:r>
        <w:t>1) Saisir l’aliment et son coût. 2) Indiquer les bovins concernés ou le nombre de têtes. 3) Calculer la part par tête. 4) Ajouter cette part au coût cumulé de chaque bovin. 5) À la vente, figer le coût du bovin et calculer la marge.</w:t>
      </w:r>
    </w:p>
    <w:p w14:paraId="5010FC1F" w14:textId="77777777" w:rsidR="00350542" w:rsidRDefault="00000000">
      <w:pPr>
        <w:pStyle w:val="Titre1"/>
      </w:pPr>
      <w:r>
        <w:lastRenderedPageBreak/>
        <w:t>6. Formules de gestion</w:t>
      </w:r>
    </w:p>
    <w:tbl>
      <w:tblPr>
        <w:tblStyle w:val="Grilledutableau"/>
        <w:tblW w:w="0" w:type="auto"/>
        <w:jc w:val="center"/>
        <w:tblLook w:val="04A0" w:firstRow="1" w:lastRow="0" w:firstColumn="1" w:lastColumn="0" w:noHBand="0" w:noVBand="1"/>
      </w:tblPr>
      <w:tblGrid>
        <w:gridCol w:w="5112"/>
        <w:gridCol w:w="5112"/>
      </w:tblGrid>
      <w:tr w:rsidR="00350542" w14:paraId="6C4CB190" w14:textId="77777777">
        <w:trPr>
          <w:jc w:val="center"/>
        </w:trPr>
        <w:tc>
          <w:tcPr>
            <w:tcW w:w="5112" w:type="dxa"/>
            <w:vAlign w:val="center"/>
          </w:tcPr>
          <w:p w14:paraId="36A52028" w14:textId="77777777" w:rsidR="00350542" w:rsidRDefault="00000000">
            <w:r>
              <w:rPr>
                <w:b/>
              </w:rPr>
              <w:t>Indicateur</w:t>
            </w:r>
          </w:p>
        </w:tc>
        <w:tc>
          <w:tcPr>
            <w:tcW w:w="5112" w:type="dxa"/>
            <w:vAlign w:val="center"/>
          </w:tcPr>
          <w:p w14:paraId="77CF71C6" w14:textId="77777777" w:rsidR="00350542" w:rsidRDefault="00000000">
            <w:r>
              <w:rPr>
                <w:b/>
              </w:rPr>
              <w:t>Formule</w:t>
            </w:r>
          </w:p>
        </w:tc>
      </w:tr>
      <w:tr w:rsidR="00350542" w14:paraId="22C97870" w14:textId="77777777">
        <w:trPr>
          <w:jc w:val="center"/>
        </w:trPr>
        <w:tc>
          <w:tcPr>
            <w:tcW w:w="5112" w:type="dxa"/>
          </w:tcPr>
          <w:p w14:paraId="5544CC3C" w14:textId="77777777" w:rsidR="00350542" w:rsidRDefault="00000000">
            <w:r>
              <w:t>Coût alimentation / tête</w:t>
            </w:r>
          </w:p>
        </w:tc>
        <w:tc>
          <w:tcPr>
            <w:tcW w:w="5112" w:type="dxa"/>
          </w:tcPr>
          <w:p w14:paraId="4B5BFB6E" w14:textId="77777777" w:rsidR="00350542" w:rsidRDefault="00000000">
            <w:r>
              <w:t>Coût de l’aliment affecté au lot ÷ nombre de bovins concernés</w:t>
            </w:r>
          </w:p>
        </w:tc>
      </w:tr>
      <w:tr w:rsidR="00350542" w14:paraId="64A44A25" w14:textId="77777777">
        <w:trPr>
          <w:jc w:val="center"/>
        </w:trPr>
        <w:tc>
          <w:tcPr>
            <w:tcW w:w="5112" w:type="dxa"/>
          </w:tcPr>
          <w:p w14:paraId="261E337C" w14:textId="77777777" w:rsidR="00350542" w:rsidRDefault="00000000">
            <w:r>
              <w:t>Coût de revient</w:t>
            </w:r>
          </w:p>
        </w:tc>
        <w:tc>
          <w:tcPr>
            <w:tcW w:w="5112" w:type="dxa"/>
          </w:tcPr>
          <w:p w14:paraId="6FA9EADE" w14:textId="77777777" w:rsidR="00350542" w:rsidRDefault="00000000">
            <w:r>
              <w:t>Prix d’achat + coûts d’engraissement imputés + autres coûts imputables</w:t>
            </w:r>
          </w:p>
        </w:tc>
      </w:tr>
      <w:tr w:rsidR="00350542" w14:paraId="41CF20AC" w14:textId="77777777">
        <w:trPr>
          <w:jc w:val="center"/>
        </w:trPr>
        <w:tc>
          <w:tcPr>
            <w:tcW w:w="5112" w:type="dxa"/>
          </w:tcPr>
          <w:p w14:paraId="0DBD6541" w14:textId="77777777" w:rsidR="00350542" w:rsidRDefault="00000000">
            <w:r>
              <w:t>Marge par tête</w:t>
            </w:r>
          </w:p>
        </w:tc>
        <w:tc>
          <w:tcPr>
            <w:tcW w:w="5112" w:type="dxa"/>
          </w:tcPr>
          <w:p w14:paraId="35E23319" w14:textId="77777777" w:rsidR="00350542" w:rsidRDefault="00000000">
            <w:r>
              <w:t>Prix de vente – coût de revient</w:t>
            </w:r>
          </w:p>
        </w:tc>
      </w:tr>
      <w:tr w:rsidR="00350542" w14:paraId="70A85D3C" w14:textId="77777777">
        <w:trPr>
          <w:jc w:val="center"/>
        </w:trPr>
        <w:tc>
          <w:tcPr>
            <w:tcW w:w="5112" w:type="dxa"/>
          </w:tcPr>
          <w:p w14:paraId="4225311D" w14:textId="77777777" w:rsidR="00350542" w:rsidRDefault="00000000">
            <w:r>
              <w:t>Marge totale</w:t>
            </w:r>
          </w:p>
        </w:tc>
        <w:tc>
          <w:tcPr>
            <w:tcW w:w="5112" w:type="dxa"/>
          </w:tcPr>
          <w:p w14:paraId="27D9FC14" w14:textId="77777777" w:rsidR="00350542" w:rsidRDefault="00000000">
            <w:r>
              <w:t>Somme des marges des bovins vendus</w:t>
            </w:r>
          </w:p>
        </w:tc>
      </w:tr>
      <w:tr w:rsidR="00350542" w14:paraId="576B47B5" w14:textId="77777777">
        <w:trPr>
          <w:jc w:val="center"/>
        </w:trPr>
        <w:tc>
          <w:tcPr>
            <w:tcW w:w="5112" w:type="dxa"/>
          </w:tcPr>
          <w:p w14:paraId="060DBC10" w14:textId="77777777" w:rsidR="00350542" w:rsidRDefault="00000000">
            <w:r>
              <w:t>Taux d’utilisation du financement</w:t>
            </w:r>
          </w:p>
        </w:tc>
        <w:tc>
          <w:tcPr>
            <w:tcW w:w="5112" w:type="dxa"/>
          </w:tcPr>
          <w:p w14:paraId="57F46FA1" w14:textId="77777777" w:rsidR="00350542" w:rsidRDefault="00000000">
            <w:r>
              <w:t>Montant utilisé ÷ montant financé</w:t>
            </w:r>
          </w:p>
        </w:tc>
      </w:tr>
    </w:tbl>
    <w:p w14:paraId="49AACAE3" w14:textId="77777777" w:rsidR="00350542" w:rsidRDefault="00000000">
      <w:pPr>
        <w:pStyle w:val="Titre1"/>
      </w:pPr>
      <w:r>
        <w:t>7. Tableau de bord</w:t>
      </w:r>
    </w:p>
    <w:p w14:paraId="38364207" w14:textId="77777777" w:rsidR="00350542" w:rsidRDefault="00000000">
      <w:r>
        <w:t>Le tableau de bord affiche en priorité : bovins actifs, bovins vendus, valeur du cheptel, chiffre d’affaires, coûts d’engraissement, marge réalisée, trésorerie, financement utilisé, échéances et alertes.</w:t>
      </w:r>
    </w:p>
    <w:p w14:paraId="148FDF09" w14:textId="77777777" w:rsidR="00350542" w:rsidRDefault="00000000">
      <w:pPr>
        <w:pStyle w:val="Titre1"/>
      </w:pPr>
      <w:r>
        <w:t>8. Espace bailleur</w:t>
      </w:r>
    </w:p>
    <w:p w14:paraId="6E6C2399" w14:textId="77777777" w:rsidR="00350542" w:rsidRDefault="00000000">
      <w:r>
        <w:t xml:space="preserve">Vue en lecture seule, orientée </w:t>
      </w:r>
      <w:proofErr w:type="gramStart"/>
      <w:r>
        <w:t>supervision :</w:t>
      </w:r>
      <w:proofErr w:type="gramEnd"/>
      <w:r>
        <w:t xml:space="preserve"> situation du portefeuille, évolution mensuelle, utilisation du financement, rentabilité, risques/alertes et rapport mensuel.</w:t>
      </w:r>
    </w:p>
    <w:p w14:paraId="459EA1CA" w14:textId="77777777" w:rsidR="00350542" w:rsidRDefault="00000000">
      <w:pPr>
        <w:pStyle w:val="Titre1"/>
      </w:pPr>
      <w:r>
        <w:t>9. Sécurité et traçabilité</w:t>
      </w:r>
    </w:p>
    <w:p w14:paraId="71B189F0" w14:textId="77777777" w:rsidR="00350542" w:rsidRDefault="00000000">
      <w:pPr>
        <w:pStyle w:val="Listepuces"/>
      </w:pPr>
      <w:r>
        <w:t>Authentification par identifiant/mot de passe.</w:t>
      </w:r>
    </w:p>
    <w:p w14:paraId="4305A7EF" w14:textId="77777777" w:rsidR="00350542" w:rsidRDefault="00000000">
      <w:pPr>
        <w:pStyle w:val="Listepuces"/>
      </w:pPr>
      <w:r>
        <w:t>Droits d’accès par profil.</w:t>
      </w:r>
    </w:p>
    <w:p w14:paraId="4B085D75" w14:textId="77777777" w:rsidR="00350542" w:rsidRDefault="00000000">
      <w:pPr>
        <w:pStyle w:val="Listepuces"/>
      </w:pPr>
      <w:r>
        <w:t>Sauvegarde régulière des données.</w:t>
      </w:r>
    </w:p>
    <w:p w14:paraId="1AF61EFB" w14:textId="77777777" w:rsidR="00350542" w:rsidRDefault="00000000">
      <w:pPr>
        <w:pStyle w:val="Listepuces"/>
      </w:pPr>
      <w:r>
        <w:t>Historique des opérations.</w:t>
      </w:r>
    </w:p>
    <w:p w14:paraId="6F0F55FA" w14:textId="77777777" w:rsidR="00350542" w:rsidRDefault="00000000">
      <w:pPr>
        <w:pStyle w:val="Listepuces"/>
      </w:pPr>
      <w:r>
        <w:t>Protection des données financières et commerciales.</w:t>
      </w:r>
    </w:p>
    <w:p w14:paraId="3A624D02" w14:textId="77777777" w:rsidR="00350542" w:rsidRDefault="00000000">
      <w:pPr>
        <w:pStyle w:val="Listepuces"/>
      </w:pPr>
      <w:r>
        <w:t>Possibilité d’exporter les rapports sans donner au bailleur les droits de modification.</w:t>
      </w:r>
    </w:p>
    <w:p w14:paraId="683122DC" w14:textId="77777777" w:rsidR="00350542" w:rsidRDefault="00000000">
      <w:pPr>
        <w:pStyle w:val="Titre1"/>
      </w:pPr>
      <w:r>
        <w:t>10. MVP et évolutions futures</w:t>
      </w:r>
    </w:p>
    <w:p w14:paraId="401349A8" w14:textId="77777777" w:rsidR="00350542" w:rsidRDefault="00000000">
      <w:r>
        <w:t>Le MVP doit privilégier la fiabilité des données, la simplicité de saisie et le reporting. Les fonctions avancées (géolocalisation, pesée connectée, intégration comptable, analyse prédictive, portail bailleur enrichi) peuvent être envisagées dans une phase ultérieure.</w:t>
      </w:r>
    </w:p>
    <w:sectPr w:rsidR="0035054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35931273">
    <w:abstractNumId w:val="8"/>
  </w:num>
  <w:num w:numId="2" w16cid:durableId="1614290810">
    <w:abstractNumId w:val="6"/>
  </w:num>
  <w:num w:numId="3" w16cid:durableId="1100829797">
    <w:abstractNumId w:val="5"/>
  </w:num>
  <w:num w:numId="4" w16cid:durableId="70346911">
    <w:abstractNumId w:val="4"/>
  </w:num>
  <w:num w:numId="5" w16cid:durableId="168184739">
    <w:abstractNumId w:val="7"/>
  </w:num>
  <w:num w:numId="6" w16cid:durableId="1808938261">
    <w:abstractNumId w:val="3"/>
  </w:num>
  <w:num w:numId="7" w16cid:durableId="722680569">
    <w:abstractNumId w:val="2"/>
  </w:num>
  <w:num w:numId="8" w16cid:durableId="798299168">
    <w:abstractNumId w:val="1"/>
  </w:num>
  <w:num w:numId="9" w16cid:durableId="122625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542"/>
    <w:rsid w:val="00467A33"/>
    <w:rsid w:val="00857D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76F4F"/>
  <w14:defaultImageDpi w14:val="300"/>
  <w15:docId w15:val="{997DD225-7A8E-4A51-9E9B-72A8D72C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475</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SOUMANA AMADOU Abdoul Madjid</cp:lastModifiedBy>
  <cp:revision>2</cp:revision>
  <dcterms:created xsi:type="dcterms:W3CDTF">2013-12-23T23:15:00Z</dcterms:created>
  <dcterms:modified xsi:type="dcterms:W3CDTF">2026-09-26T11:54:00Z</dcterms:modified>
  <cp:category/>
</cp:coreProperties>
</file>