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92D88" w14:textId="77777777" w:rsidR="003A32FF" w:rsidRDefault="00000000">
      <w:pPr>
        <w:jc w:val="center"/>
        <w:rPr>
          <w:rFonts w:hint="eastAsia"/>
        </w:rPr>
      </w:pPr>
      <w:r>
        <w:rPr>
          <w:b/>
          <w:sz w:val="36"/>
        </w:rPr>
        <w:t>GUIDELINES – APPLICATION MOBILE DE GESTION DE L’ÉLEVAGE</w:t>
      </w:r>
    </w:p>
    <w:p w14:paraId="66F491EC" w14:textId="77777777" w:rsidR="003A32FF" w:rsidRDefault="00000000">
      <w:pPr>
        <w:jc w:val="center"/>
        <w:rPr>
          <w:rFonts w:hint="eastAsia"/>
        </w:rPr>
      </w:pPr>
      <w:r>
        <w:rPr>
          <w:i/>
        </w:rPr>
        <w:t>Projet de gestion et de reporting – élevage bovin d’engraissement</w:t>
      </w:r>
    </w:p>
    <w:p w14:paraId="4F8EEA91" w14:textId="77777777" w:rsidR="003A32FF" w:rsidRDefault="00000000">
      <w:pPr>
        <w:rPr>
          <w:rFonts w:hint="eastAsia"/>
        </w:rPr>
      </w:pPr>
      <w:r>
        <w:t>Vision : une application simple de saisie pour l’éleveur/gérant, avec calculs automatiques et une vue de suivi claire pour le bailleur.</w:t>
      </w:r>
    </w:p>
    <w:p w14:paraId="38C9A2BB" w14:textId="77777777" w:rsidR="003A32FF" w:rsidRDefault="00000000">
      <w:pPr>
        <w:pStyle w:val="Titre1"/>
      </w:pPr>
      <w:r>
        <w:t>1. Principes directeurs</w:t>
      </w:r>
    </w:p>
    <w:p w14:paraId="2A74A28C" w14:textId="77777777" w:rsidR="003A32FF" w:rsidRDefault="00000000">
      <w:pPr>
        <w:pStyle w:val="Listepuces"/>
        <w:rPr>
          <w:rFonts w:hint="eastAsia"/>
        </w:rPr>
      </w:pPr>
      <w:r>
        <w:t>Simplicité : peu de saisies, formulaires courts.</w:t>
      </w:r>
    </w:p>
    <w:p w14:paraId="578C9AB1" w14:textId="77777777" w:rsidR="003A32FF" w:rsidRDefault="00000000">
      <w:pPr>
        <w:pStyle w:val="Listepuces"/>
        <w:rPr>
          <w:rFonts w:hint="eastAsia"/>
        </w:rPr>
      </w:pPr>
      <w:r>
        <w:t>Traçabilité : chaque mouvement et dépense est historisé.</w:t>
      </w:r>
    </w:p>
    <w:p w14:paraId="48175D3B" w14:textId="2274D206" w:rsidR="003A32FF" w:rsidRDefault="00000000">
      <w:pPr>
        <w:pStyle w:val="Listepuces"/>
        <w:rPr>
          <w:rFonts w:hint="eastAsia"/>
        </w:rPr>
      </w:pPr>
      <w:proofErr w:type="gramStart"/>
      <w:r>
        <w:t>Automatisation :</w:t>
      </w:r>
      <w:proofErr w:type="gramEnd"/>
      <w:r>
        <w:t xml:space="preserve"> </w:t>
      </w:r>
      <w:proofErr w:type="spellStart"/>
      <w:r>
        <w:t>calcul</w:t>
      </w:r>
      <w:proofErr w:type="spellEnd"/>
      <w:r>
        <w:t xml:space="preserve"> des </w:t>
      </w:r>
      <w:proofErr w:type="spellStart"/>
      <w:r>
        <w:t>coûts</w:t>
      </w:r>
      <w:proofErr w:type="spellEnd"/>
      <w:r>
        <w:t xml:space="preserve">, </w:t>
      </w:r>
      <w:r w:rsidR="00197D93">
        <w:t xml:space="preserve">des </w:t>
      </w:r>
      <w:proofErr w:type="spellStart"/>
      <w:r w:rsidR="00197D93">
        <w:t>marges</w:t>
      </w:r>
      <w:proofErr w:type="spellEnd"/>
      <w:r w:rsidR="00197D93">
        <w:t xml:space="preserve"> et des</w:t>
      </w:r>
      <w:r>
        <w:t xml:space="preserve"> </w:t>
      </w:r>
      <w:proofErr w:type="spellStart"/>
      <w:r>
        <w:t>indicateurs</w:t>
      </w:r>
      <w:proofErr w:type="spellEnd"/>
      <w:r>
        <w:t xml:space="preserve"> sans </w:t>
      </w:r>
      <w:proofErr w:type="spellStart"/>
      <w:r>
        <w:t>retraitement</w:t>
      </w:r>
      <w:proofErr w:type="spellEnd"/>
      <w:r>
        <w:t xml:space="preserve"> manuel.</w:t>
      </w:r>
    </w:p>
    <w:p w14:paraId="43606D9C" w14:textId="77777777" w:rsidR="003A32FF" w:rsidRDefault="00000000">
      <w:pPr>
        <w:pStyle w:val="Listepuces"/>
        <w:rPr>
          <w:rFonts w:hint="eastAsia"/>
        </w:rPr>
      </w:pPr>
      <w:r>
        <w:t>Reporting : génération d’un état mensuel exploitable par le bailleur.</w:t>
      </w:r>
    </w:p>
    <w:p w14:paraId="6559D6F5" w14:textId="77777777" w:rsidR="003A32FF" w:rsidRDefault="00000000">
      <w:pPr>
        <w:pStyle w:val="Listepuces"/>
        <w:rPr>
          <w:rFonts w:hint="eastAsia"/>
        </w:rPr>
      </w:pPr>
      <w:r>
        <w:t>Accès différenciés : gestion complète pour l’éleveur/gérant ; consultation pour le bailleur.</w:t>
      </w:r>
    </w:p>
    <w:p w14:paraId="42985450" w14:textId="77777777" w:rsidR="003A32FF" w:rsidRDefault="00000000">
      <w:pPr>
        <w:pStyle w:val="Titre1"/>
      </w:pPr>
      <w:r>
        <w:t>2. Parcours de l’information</w:t>
      </w:r>
    </w:p>
    <w:p w14:paraId="68E75CB3" w14:textId="77777777" w:rsidR="003A32FF" w:rsidRDefault="00000000">
      <w:pPr>
        <w:rPr>
          <w:rFonts w:hint="eastAsia"/>
        </w:rPr>
      </w:pPr>
      <w:r>
        <w:t>Saisie terrain → base de données → calcul automatique → tableau de bord de gestion → rapport mensuel → espace bailleur.</w:t>
      </w:r>
    </w:p>
    <w:p w14:paraId="0EDC1E7D" w14:textId="77777777" w:rsidR="003A32FF" w:rsidRDefault="00000000">
      <w:pPr>
        <w:pStyle w:val="Titre1"/>
      </w:pPr>
      <w:r>
        <w:t>3. Écrans principaux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A32FF" w14:paraId="723CA724" w14:textId="77777777">
        <w:trPr>
          <w:jc w:val="center"/>
        </w:trPr>
        <w:tc>
          <w:tcPr>
            <w:tcW w:w="5112" w:type="dxa"/>
            <w:vAlign w:val="center"/>
          </w:tcPr>
          <w:p w14:paraId="2D8A649F" w14:textId="77777777" w:rsidR="003A32FF" w:rsidRDefault="00000000">
            <w:pPr>
              <w:rPr>
                <w:rFonts w:hint="eastAsia"/>
              </w:rPr>
            </w:pPr>
            <w:r>
              <w:rPr>
                <w:b/>
              </w:rPr>
              <w:t>Écran</w:t>
            </w:r>
          </w:p>
        </w:tc>
        <w:tc>
          <w:tcPr>
            <w:tcW w:w="5112" w:type="dxa"/>
            <w:vAlign w:val="center"/>
          </w:tcPr>
          <w:p w14:paraId="3142FEFB" w14:textId="77777777" w:rsidR="003A32FF" w:rsidRDefault="00000000">
            <w:pPr>
              <w:rPr>
                <w:rFonts w:hint="eastAsia"/>
              </w:rPr>
            </w:pPr>
            <w:r>
              <w:rPr>
                <w:b/>
              </w:rPr>
              <w:t>Fonction</w:t>
            </w:r>
          </w:p>
        </w:tc>
      </w:tr>
      <w:tr w:rsidR="003A32FF" w14:paraId="55F5E140" w14:textId="77777777">
        <w:trPr>
          <w:jc w:val="center"/>
        </w:trPr>
        <w:tc>
          <w:tcPr>
            <w:tcW w:w="5112" w:type="dxa"/>
          </w:tcPr>
          <w:p w14:paraId="1BE5069E" w14:textId="77777777" w:rsidR="003A32FF" w:rsidRDefault="00000000">
            <w:pPr>
              <w:rPr>
                <w:rFonts w:hint="eastAsia"/>
              </w:rPr>
            </w:pPr>
            <w:r>
              <w:t>Accueil / Tableau de bord</w:t>
            </w:r>
          </w:p>
        </w:tc>
        <w:tc>
          <w:tcPr>
            <w:tcW w:w="5112" w:type="dxa"/>
          </w:tcPr>
          <w:p w14:paraId="3C3B9CA9" w14:textId="77777777" w:rsidR="003A32FF" w:rsidRDefault="00000000">
            <w:pPr>
              <w:rPr>
                <w:rFonts w:hint="eastAsia"/>
              </w:rPr>
            </w:pPr>
            <w:r>
              <w:t>Cheptel, ventes, CA, marge, alimentation, valeur du stock, alertes</w:t>
            </w:r>
          </w:p>
        </w:tc>
      </w:tr>
      <w:tr w:rsidR="003A32FF" w14:paraId="530ADF78" w14:textId="77777777">
        <w:trPr>
          <w:jc w:val="center"/>
        </w:trPr>
        <w:tc>
          <w:tcPr>
            <w:tcW w:w="5112" w:type="dxa"/>
          </w:tcPr>
          <w:p w14:paraId="54CF36A1" w14:textId="77777777" w:rsidR="003A32FF" w:rsidRDefault="00000000">
            <w:pPr>
              <w:rPr>
                <w:rFonts w:hint="eastAsia"/>
              </w:rPr>
            </w:pPr>
            <w:r>
              <w:t>Bovins</w:t>
            </w:r>
          </w:p>
        </w:tc>
        <w:tc>
          <w:tcPr>
            <w:tcW w:w="5112" w:type="dxa"/>
          </w:tcPr>
          <w:p w14:paraId="2C6FAB49" w14:textId="77777777" w:rsidR="003A32FF" w:rsidRDefault="00000000">
            <w:pPr>
              <w:rPr>
                <w:rFonts w:hint="eastAsia"/>
              </w:rPr>
            </w:pPr>
            <w:r>
              <w:t>Liste des bovins et statut : en engraissement / vendu</w:t>
            </w:r>
          </w:p>
        </w:tc>
      </w:tr>
      <w:tr w:rsidR="003A32FF" w14:paraId="6F2E4FA1" w14:textId="77777777">
        <w:trPr>
          <w:jc w:val="center"/>
        </w:trPr>
        <w:tc>
          <w:tcPr>
            <w:tcW w:w="5112" w:type="dxa"/>
          </w:tcPr>
          <w:p w14:paraId="632BD12A" w14:textId="77777777" w:rsidR="003A32FF" w:rsidRDefault="00000000">
            <w:pPr>
              <w:rPr>
                <w:rFonts w:hint="eastAsia"/>
              </w:rPr>
            </w:pPr>
            <w:r>
              <w:t>Fiche bovin</w:t>
            </w:r>
          </w:p>
        </w:tc>
        <w:tc>
          <w:tcPr>
            <w:tcW w:w="5112" w:type="dxa"/>
          </w:tcPr>
          <w:p w14:paraId="2304188B" w14:textId="77777777" w:rsidR="003A32FF" w:rsidRDefault="00000000">
            <w:pPr>
              <w:rPr>
                <w:rFonts w:hint="eastAsia"/>
              </w:rPr>
            </w:pPr>
            <w:r>
              <w:t>Identification, achat, coûts cumulés, prix de vente, marge</w:t>
            </w:r>
          </w:p>
        </w:tc>
      </w:tr>
      <w:tr w:rsidR="003A32FF" w14:paraId="3B9A5DB6" w14:textId="77777777">
        <w:trPr>
          <w:jc w:val="center"/>
        </w:trPr>
        <w:tc>
          <w:tcPr>
            <w:tcW w:w="5112" w:type="dxa"/>
          </w:tcPr>
          <w:p w14:paraId="5EB1CA19" w14:textId="77777777" w:rsidR="003A32FF" w:rsidRDefault="00000000">
            <w:pPr>
              <w:rPr>
                <w:rFonts w:hint="eastAsia"/>
              </w:rPr>
            </w:pPr>
            <w:r>
              <w:t>Alimentation</w:t>
            </w:r>
          </w:p>
        </w:tc>
        <w:tc>
          <w:tcPr>
            <w:tcW w:w="5112" w:type="dxa"/>
          </w:tcPr>
          <w:p w14:paraId="65A30F99" w14:textId="77777777" w:rsidR="003A32FF" w:rsidRDefault="00000000">
            <w:pPr>
              <w:rPr>
                <w:rFonts w:hint="eastAsia"/>
              </w:rPr>
            </w:pPr>
            <w:r>
              <w:t>Saisie des sacs/quantités, coût unitaire et bovins concernés ; imputation automatique</w:t>
            </w:r>
          </w:p>
        </w:tc>
      </w:tr>
      <w:tr w:rsidR="003A32FF" w14:paraId="46404F36" w14:textId="77777777">
        <w:trPr>
          <w:jc w:val="center"/>
        </w:trPr>
        <w:tc>
          <w:tcPr>
            <w:tcW w:w="5112" w:type="dxa"/>
          </w:tcPr>
          <w:p w14:paraId="2C09F5FF" w14:textId="77777777" w:rsidR="003A32FF" w:rsidRDefault="00000000">
            <w:pPr>
              <w:rPr>
                <w:rFonts w:hint="eastAsia"/>
              </w:rPr>
            </w:pPr>
            <w:r>
              <w:t>Dépenses</w:t>
            </w:r>
          </w:p>
        </w:tc>
        <w:tc>
          <w:tcPr>
            <w:tcW w:w="5112" w:type="dxa"/>
          </w:tcPr>
          <w:p w14:paraId="152EFA2D" w14:textId="77777777" w:rsidR="003A32FF" w:rsidRDefault="00000000">
            <w:pPr>
              <w:rPr>
                <w:rFonts w:hint="eastAsia"/>
              </w:rPr>
            </w:pPr>
            <w:r>
              <w:t>Soins, transport, main-d’œuvre et autres charges</w:t>
            </w:r>
          </w:p>
        </w:tc>
      </w:tr>
      <w:tr w:rsidR="003A32FF" w14:paraId="2AA4058B" w14:textId="77777777">
        <w:trPr>
          <w:jc w:val="center"/>
        </w:trPr>
        <w:tc>
          <w:tcPr>
            <w:tcW w:w="5112" w:type="dxa"/>
          </w:tcPr>
          <w:p w14:paraId="2C2BB3AB" w14:textId="77777777" w:rsidR="003A32FF" w:rsidRDefault="00000000">
            <w:pPr>
              <w:rPr>
                <w:rFonts w:hint="eastAsia"/>
              </w:rPr>
            </w:pPr>
            <w:r>
              <w:t>Ventes</w:t>
            </w:r>
          </w:p>
        </w:tc>
        <w:tc>
          <w:tcPr>
            <w:tcW w:w="5112" w:type="dxa"/>
          </w:tcPr>
          <w:p w14:paraId="239873ED" w14:textId="77777777" w:rsidR="003A32FF" w:rsidRDefault="00000000">
            <w:pPr>
              <w:rPr>
                <w:rFonts w:hint="eastAsia"/>
              </w:rPr>
            </w:pPr>
            <w:r>
              <w:t>Bovin(s) vendu(s), date, prix, client et calcul de marge</w:t>
            </w:r>
          </w:p>
        </w:tc>
      </w:tr>
      <w:tr w:rsidR="003A32FF" w14:paraId="34262F7B" w14:textId="77777777">
        <w:trPr>
          <w:jc w:val="center"/>
        </w:trPr>
        <w:tc>
          <w:tcPr>
            <w:tcW w:w="5112" w:type="dxa"/>
          </w:tcPr>
          <w:p w14:paraId="7175730B" w14:textId="77777777" w:rsidR="003A32FF" w:rsidRDefault="00000000">
            <w:pPr>
              <w:rPr>
                <w:rFonts w:hint="eastAsia"/>
              </w:rPr>
            </w:pPr>
            <w:r>
              <w:t>Rentabilité</w:t>
            </w:r>
          </w:p>
        </w:tc>
        <w:tc>
          <w:tcPr>
            <w:tcW w:w="5112" w:type="dxa"/>
          </w:tcPr>
          <w:p w14:paraId="41CB6D20" w14:textId="77777777" w:rsidR="003A32FF" w:rsidRDefault="00000000">
            <w:pPr>
              <w:rPr>
                <w:rFonts w:hint="eastAsia"/>
              </w:rPr>
            </w:pPr>
            <w:r>
              <w:t>Marge par tête, marge totale, coûts et tendances</w:t>
            </w:r>
          </w:p>
        </w:tc>
      </w:tr>
      <w:tr w:rsidR="003A32FF" w14:paraId="382FC35F" w14:textId="77777777">
        <w:trPr>
          <w:jc w:val="center"/>
        </w:trPr>
        <w:tc>
          <w:tcPr>
            <w:tcW w:w="5112" w:type="dxa"/>
          </w:tcPr>
          <w:p w14:paraId="37F846C5" w14:textId="77777777" w:rsidR="003A32FF" w:rsidRDefault="00000000">
            <w:pPr>
              <w:rPr>
                <w:rFonts w:hint="eastAsia"/>
              </w:rPr>
            </w:pPr>
            <w:r>
              <w:t>Financement / Bailleur</w:t>
            </w:r>
          </w:p>
        </w:tc>
        <w:tc>
          <w:tcPr>
            <w:tcW w:w="5112" w:type="dxa"/>
          </w:tcPr>
          <w:p w14:paraId="4ABFB92D" w14:textId="77777777" w:rsidR="003A32FF" w:rsidRDefault="00000000">
            <w:pPr>
              <w:rPr>
                <w:rFonts w:hint="eastAsia"/>
              </w:rPr>
            </w:pPr>
            <w:r>
              <w:t>Montant financé, utilisation, solde, échéances et reporting</w:t>
            </w:r>
          </w:p>
        </w:tc>
      </w:tr>
    </w:tbl>
    <w:p w14:paraId="1B66ED0E" w14:textId="77777777" w:rsidR="003A32FF" w:rsidRDefault="00000000">
      <w:pPr>
        <w:pStyle w:val="Titre1"/>
      </w:pPr>
      <w:r>
        <w:t>4. Règle d’imputation de l’alimentation</w:t>
      </w:r>
    </w:p>
    <w:p w14:paraId="56A0E7E2" w14:textId="40CA9C79" w:rsidR="003A32FF" w:rsidRDefault="00000000">
      <w:pPr>
        <w:rPr>
          <w:rFonts w:hint="eastAsia"/>
        </w:rPr>
      </w:pPr>
      <w:proofErr w:type="spellStart"/>
      <w:r>
        <w:t>L’utilisateur</w:t>
      </w:r>
      <w:proofErr w:type="spellEnd"/>
      <w:r>
        <w:t xml:space="preserve"> </w:t>
      </w:r>
      <w:proofErr w:type="spellStart"/>
      <w:proofErr w:type="gramStart"/>
      <w:r>
        <w:t>saisit</w:t>
      </w:r>
      <w:proofErr w:type="spellEnd"/>
      <w:r>
        <w:t xml:space="preserve"> :</w:t>
      </w:r>
      <w:proofErr w:type="gramEnd"/>
      <w:r>
        <w:t xml:space="preserve"> </w:t>
      </w:r>
      <w:r w:rsidR="00D60D0E">
        <w:t xml:space="preserve">le </w:t>
      </w:r>
      <w:proofErr w:type="spellStart"/>
      <w:r w:rsidR="00D60D0E">
        <w:t>produit</w:t>
      </w:r>
      <w:proofErr w:type="spellEnd"/>
      <w:r w:rsidR="00D60D0E">
        <w:t xml:space="preserve">, la </w:t>
      </w:r>
      <w:proofErr w:type="spellStart"/>
      <w:r w:rsidR="00D60D0E">
        <w:t>quantité</w:t>
      </w:r>
      <w:proofErr w:type="spellEnd"/>
      <w:r w:rsidR="00D60D0E">
        <w:t xml:space="preserve">, le </w:t>
      </w:r>
      <w:proofErr w:type="spellStart"/>
      <w:r w:rsidR="00D60D0E">
        <w:t>coût</w:t>
      </w:r>
      <w:proofErr w:type="spellEnd"/>
      <w:r w:rsidR="00D60D0E">
        <w:t xml:space="preserve"> total et le</w:t>
      </w:r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bovins</w:t>
      </w:r>
      <w:proofErr w:type="spellEnd"/>
      <w:r>
        <w:t xml:space="preserve"> concernés. L’application calcule automatiquement la part par tête et l’ajoute au coût d’engraissement de chaque bovin concerné.</w:t>
      </w:r>
    </w:p>
    <w:p w14:paraId="75ECB2F9" w14:textId="77777777" w:rsidR="003A32FF" w:rsidRDefault="00000000">
      <w:pPr>
        <w:pStyle w:val="Titre1"/>
      </w:pPr>
      <w:r>
        <w:t>5. Alertes</w:t>
      </w:r>
    </w:p>
    <w:p w14:paraId="149AED8D" w14:textId="77777777" w:rsidR="003A32FF" w:rsidRDefault="00000000">
      <w:pPr>
        <w:pStyle w:val="Listepuces"/>
        <w:rPr>
          <w:rFonts w:hint="eastAsia"/>
        </w:rPr>
      </w:pPr>
      <w:r>
        <w:t>Échéance de financement proche ou en retard.</w:t>
      </w:r>
    </w:p>
    <w:p w14:paraId="1697EDB4" w14:textId="77777777" w:rsidR="003A32FF" w:rsidRDefault="00000000">
      <w:pPr>
        <w:pStyle w:val="Listepuces"/>
        <w:rPr>
          <w:rFonts w:hint="eastAsia"/>
        </w:rPr>
      </w:pPr>
      <w:r>
        <w:t>Dépassement d’un budget de charges.</w:t>
      </w:r>
    </w:p>
    <w:p w14:paraId="5D86BDB3" w14:textId="77777777" w:rsidR="003A32FF" w:rsidRDefault="00000000">
      <w:pPr>
        <w:pStyle w:val="Listepuces"/>
        <w:rPr>
          <w:rFonts w:hint="eastAsia"/>
        </w:rPr>
      </w:pPr>
      <w:r>
        <w:t>Mortalité ou incident sanitaire enregistré.</w:t>
      </w:r>
    </w:p>
    <w:p w14:paraId="1528556B" w14:textId="77777777" w:rsidR="003A32FF" w:rsidRDefault="00000000">
      <w:pPr>
        <w:pStyle w:val="Listepuces"/>
        <w:rPr>
          <w:rFonts w:hint="eastAsia"/>
        </w:rPr>
      </w:pPr>
      <w:r>
        <w:t>Marge inférieure au seuil défini.</w:t>
      </w:r>
    </w:p>
    <w:p w14:paraId="4761B819" w14:textId="77777777" w:rsidR="003A32FF" w:rsidRDefault="00000000">
      <w:pPr>
        <w:pStyle w:val="Titre1"/>
      </w:pPr>
      <w:r>
        <w:lastRenderedPageBreak/>
        <w:t>6. Reporting bailleur</w:t>
      </w:r>
    </w:p>
    <w:p w14:paraId="0AE062D7" w14:textId="77777777" w:rsidR="003A32FF" w:rsidRDefault="00000000">
      <w:pPr>
        <w:pStyle w:val="Listepuces"/>
        <w:rPr>
          <w:rFonts w:hint="eastAsia"/>
        </w:rPr>
      </w:pPr>
      <w:r>
        <w:t>Tableau de bord mensuel.</w:t>
      </w:r>
    </w:p>
    <w:p w14:paraId="5D3C77B8" w14:textId="77777777" w:rsidR="003A32FF" w:rsidRDefault="00000000">
      <w:pPr>
        <w:pStyle w:val="Listepuces"/>
        <w:rPr>
          <w:rFonts w:hint="eastAsia"/>
        </w:rPr>
      </w:pPr>
      <w:r>
        <w:t>État du cheptel et mouvements.</w:t>
      </w:r>
    </w:p>
    <w:p w14:paraId="73C9AEB9" w14:textId="77777777" w:rsidR="003A32FF" w:rsidRDefault="00000000">
      <w:pPr>
        <w:pStyle w:val="Listepuces"/>
        <w:rPr>
          <w:rFonts w:hint="eastAsia"/>
        </w:rPr>
      </w:pPr>
      <w:r>
        <w:t>Coûts d’engraissement et rentabilité.</w:t>
      </w:r>
    </w:p>
    <w:p w14:paraId="1B40EA18" w14:textId="77777777" w:rsidR="003A32FF" w:rsidRDefault="00000000">
      <w:pPr>
        <w:pStyle w:val="Listepuces"/>
        <w:rPr>
          <w:rFonts w:hint="eastAsia"/>
        </w:rPr>
      </w:pPr>
      <w:r>
        <w:t>Situation du financement et échéances.</w:t>
      </w:r>
    </w:p>
    <w:p w14:paraId="24614A00" w14:textId="77777777" w:rsidR="003A32FF" w:rsidRDefault="00000000">
      <w:pPr>
        <w:pStyle w:val="Listepuces"/>
        <w:rPr>
          <w:rFonts w:hint="eastAsia"/>
        </w:rPr>
      </w:pPr>
      <w:r>
        <w:t>Commentaire mensuel de gestion.</w:t>
      </w:r>
    </w:p>
    <w:p w14:paraId="4360AD14" w14:textId="77777777" w:rsidR="003A32FF" w:rsidRDefault="00000000">
      <w:pPr>
        <w:pStyle w:val="Listepuces"/>
        <w:rPr>
          <w:rFonts w:hint="eastAsia"/>
        </w:rPr>
      </w:pPr>
      <w:r>
        <w:t>Export PDF.</w:t>
      </w:r>
    </w:p>
    <w:sectPr w:rsidR="003A32F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209023">
    <w:abstractNumId w:val="8"/>
  </w:num>
  <w:num w:numId="2" w16cid:durableId="613639735">
    <w:abstractNumId w:val="6"/>
  </w:num>
  <w:num w:numId="3" w16cid:durableId="1561207615">
    <w:abstractNumId w:val="5"/>
  </w:num>
  <w:num w:numId="4" w16cid:durableId="1231845981">
    <w:abstractNumId w:val="4"/>
  </w:num>
  <w:num w:numId="5" w16cid:durableId="1830096135">
    <w:abstractNumId w:val="7"/>
  </w:num>
  <w:num w:numId="6" w16cid:durableId="617491100">
    <w:abstractNumId w:val="3"/>
  </w:num>
  <w:num w:numId="7" w16cid:durableId="1498688700">
    <w:abstractNumId w:val="2"/>
  </w:num>
  <w:num w:numId="8" w16cid:durableId="929122208">
    <w:abstractNumId w:val="1"/>
  </w:num>
  <w:num w:numId="9" w16cid:durableId="165611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D93"/>
    <w:rsid w:val="0029639D"/>
    <w:rsid w:val="00326F90"/>
    <w:rsid w:val="003A32FF"/>
    <w:rsid w:val="00857DE9"/>
    <w:rsid w:val="00AA1D8D"/>
    <w:rsid w:val="00AE7090"/>
    <w:rsid w:val="00B47730"/>
    <w:rsid w:val="00CB0664"/>
    <w:rsid w:val="00D60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4C26DB"/>
  <w14:defaultImageDpi w14:val="300"/>
  <w15:docId w15:val="{997DD225-7A8E-4A51-9E9B-72A8D72C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315</Words>
  <Characters>1733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SOUMANA AMADOU Abdoul Madjid</cp:lastModifiedBy>
  <cp:revision>4</cp:revision>
  <dcterms:created xsi:type="dcterms:W3CDTF">2013-12-23T23:15:00Z</dcterms:created>
  <dcterms:modified xsi:type="dcterms:W3CDTF">2026-09-26T11:54:00Z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4cf69040-d7a0-4f4b-9876-8c3122324cc6</vt:lpwstr>
  </property>
</Properties>
</file>