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SUPPORT KPI – ÉLEVAGE BOVIN D’ENGRAISSEMENT</w:t>
      </w:r>
    </w:p>
    <w:p>
      <w:pPr>
        <w:jc w:val="center"/>
      </w:pPr>
      <w:r>
        <w:rPr>
          <w:i/>
        </w:rPr>
        <w:t>Projet de gestion et de reporting – élevage bovin d’engraissement</w:t>
      </w:r>
    </w:p>
    <w:p>
      <w:r>
        <w:t>Objectif : fournir au bailleur une lecture mensuelle, simple et fiable de l’activité, de la performance économique et du suivi du financement.</w:t>
      </w:r>
    </w:p>
    <w:p>
      <w:pPr>
        <w:pStyle w:val="Heading1"/>
      </w:pPr>
      <w:r>
        <w:t>1. Les six blocs de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Bloc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Indicateurs principaux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Fréquence</w:t>
            </w:r>
          </w:p>
        </w:tc>
      </w:tr>
      <w:tr>
        <w:tc>
          <w:tcPr>
            <w:tcW w:type="dxa" w:w="3408"/>
          </w:tcPr>
          <w:p>
            <w:r>
              <w:t>Cheptel</w:t>
            </w:r>
          </w:p>
        </w:tc>
        <w:tc>
          <w:tcPr>
            <w:tcW w:type="dxa" w:w="3408"/>
          </w:tcPr>
          <w:p>
            <w:r>
              <w:t>Bovins en stock, entrées, sorties/ventes, mortalité, valeur du cheptel</w:t>
            </w:r>
          </w:p>
        </w:tc>
        <w:tc>
          <w:tcPr>
            <w:tcW w:type="dxa" w:w="3408"/>
          </w:tcPr>
          <w:p>
            <w:r>
              <w:t>Mensuel</w:t>
            </w:r>
          </w:p>
        </w:tc>
      </w:tr>
      <w:tr>
        <w:tc>
          <w:tcPr>
            <w:tcW w:type="dxa" w:w="3408"/>
          </w:tcPr>
          <w:p>
            <w:r>
              <w:t>Engraissement</w:t>
            </w:r>
          </w:p>
        </w:tc>
        <w:tc>
          <w:tcPr>
            <w:tcW w:type="dxa" w:w="3408"/>
          </w:tcPr>
          <w:p>
            <w:r>
              <w:t>Durée moyenne, poids/évolution du poids si disponible, nombre de bovins en cycle</w:t>
            </w:r>
          </w:p>
        </w:tc>
        <w:tc>
          <w:tcPr>
            <w:tcW w:type="dxa" w:w="3408"/>
          </w:tcPr>
          <w:p>
            <w:r>
              <w:t>Mensuel</w:t>
            </w:r>
          </w:p>
        </w:tc>
      </w:tr>
      <w:tr>
        <w:tc>
          <w:tcPr>
            <w:tcW w:type="dxa" w:w="3408"/>
          </w:tcPr>
          <w:p>
            <w:r>
              <w:t>Alimentation</w:t>
            </w:r>
          </w:p>
        </w:tc>
        <w:tc>
          <w:tcPr>
            <w:tcW w:type="dxa" w:w="3408"/>
          </w:tcPr>
          <w:p>
            <w:r>
              <w:t>Nombre de sacs/quantités consommées, coût alimentation, coût alimentation par tête</w:t>
            </w:r>
          </w:p>
        </w:tc>
        <w:tc>
          <w:tcPr>
            <w:tcW w:type="dxa" w:w="3408"/>
          </w:tcPr>
          <w:p>
            <w:r>
              <w:t>Mensuel</w:t>
            </w:r>
          </w:p>
        </w:tc>
      </w:tr>
      <w:tr>
        <w:tc>
          <w:tcPr>
            <w:tcW w:type="dxa" w:w="3408"/>
          </w:tcPr>
          <w:p>
            <w:r>
              <w:t>Rentabilité</w:t>
            </w:r>
          </w:p>
        </w:tc>
        <w:tc>
          <w:tcPr>
            <w:tcW w:type="dxa" w:w="3408"/>
          </w:tcPr>
          <w:p>
            <w:r>
              <w:t>CA, coût d’achat, coûts d’engraissement, marge par tête, marge totale</w:t>
            </w:r>
          </w:p>
        </w:tc>
        <w:tc>
          <w:tcPr>
            <w:tcW w:type="dxa" w:w="3408"/>
          </w:tcPr>
          <w:p>
            <w:r>
              <w:t>Mensuel</w:t>
            </w:r>
          </w:p>
        </w:tc>
      </w:tr>
      <w:tr>
        <w:tc>
          <w:tcPr>
            <w:tcW w:type="dxa" w:w="3408"/>
          </w:tcPr>
          <w:p>
            <w:r>
              <w:t>Financement</w:t>
            </w:r>
          </w:p>
        </w:tc>
        <w:tc>
          <w:tcPr>
            <w:tcW w:type="dxa" w:w="3408"/>
          </w:tcPr>
          <w:p>
            <w:r>
              <w:t>Montant financé, montant utilisé, solde, échéances payées/à payer, retards</w:t>
            </w:r>
          </w:p>
        </w:tc>
        <w:tc>
          <w:tcPr>
            <w:tcW w:type="dxa" w:w="3408"/>
          </w:tcPr>
          <w:p>
            <w:r>
              <w:t>Mensuel</w:t>
            </w:r>
          </w:p>
        </w:tc>
      </w:tr>
      <w:tr>
        <w:tc>
          <w:tcPr>
            <w:tcW w:type="dxa" w:w="3408"/>
          </w:tcPr>
          <w:p>
            <w:r>
              <w:t>Risques &amp; alertes</w:t>
            </w:r>
          </w:p>
        </w:tc>
        <w:tc>
          <w:tcPr>
            <w:tcW w:type="dxa" w:w="3408"/>
          </w:tcPr>
          <w:p>
            <w:r>
              <w:t>Mortalité, baisse de marge, dépassement de budget, retard de remboursement, incident majeur</w:t>
            </w:r>
          </w:p>
        </w:tc>
        <w:tc>
          <w:tcPr>
            <w:tcW w:type="dxa" w:w="3408"/>
          </w:tcPr>
          <w:p>
            <w:r>
              <w:t>Mensuel</w:t>
            </w:r>
          </w:p>
        </w:tc>
      </w:tr>
    </w:tbl>
    <w:p>
      <w:pPr>
        <w:pStyle w:val="Heading1"/>
      </w:pPr>
      <w:r>
        <w:t>2. KPI prioritaires pour le bailleur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KPI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Définition / lecture</w:t>
            </w:r>
          </w:p>
        </w:tc>
      </w:tr>
      <w:tr>
        <w:tc>
          <w:tcPr>
            <w:tcW w:type="dxa" w:w="5112"/>
          </w:tcPr>
          <w:p>
            <w:r>
              <w:t>Nombre de bovins actifs</w:t>
            </w:r>
          </w:p>
        </w:tc>
        <w:tc>
          <w:tcPr>
            <w:tcW w:type="dxa" w:w="5112"/>
          </w:tcPr>
          <w:p>
            <w:r>
              <w:t>Bovins actuellement en engraissement</w:t>
            </w:r>
          </w:p>
        </w:tc>
      </w:tr>
      <w:tr>
        <w:tc>
          <w:tcPr>
            <w:tcW w:type="dxa" w:w="5112"/>
          </w:tcPr>
          <w:p>
            <w:r>
              <w:t>Bovins achetés / vendus</w:t>
            </w:r>
          </w:p>
        </w:tc>
        <w:tc>
          <w:tcPr>
            <w:tcW w:type="dxa" w:w="5112"/>
          </w:tcPr>
          <w:p>
            <w:r>
              <w:t>Mouvements du mois et cumul</w:t>
            </w:r>
          </w:p>
        </w:tc>
      </w:tr>
      <w:tr>
        <w:tc>
          <w:tcPr>
            <w:tcW w:type="dxa" w:w="5112"/>
          </w:tcPr>
          <w:p>
            <w:r>
              <w:t>Valeur du cheptel</w:t>
            </w:r>
          </w:p>
        </w:tc>
        <w:tc>
          <w:tcPr>
            <w:tcW w:type="dxa" w:w="5112"/>
          </w:tcPr>
          <w:p>
            <w:r>
              <w:t>Valeur estimée ou comptable des bovins en stock</w:t>
            </w:r>
          </w:p>
        </w:tc>
      </w:tr>
      <w:tr>
        <w:tc>
          <w:tcPr>
            <w:tcW w:type="dxa" w:w="5112"/>
          </w:tcPr>
          <w:p>
            <w:r>
              <w:t>Coût d’engraissement par tête</w:t>
            </w:r>
          </w:p>
        </w:tc>
        <w:tc>
          <w:tcPr>
            <w:tcW w:type="dxa" w:w="5112"/>
          </w:tcPr>
          <w:p>
            <w:r>
              <w:t>Part des coûts d’alimentation et autres coûts imputés à chaque bovin</w:t>
            </w:r>
          </w:p>
        </w:tc>
      </w:tr>
      <w:tr>
        <w:tc>
          <w:tcPr>
            <w:tcW w:type="dxa" w:w="5112"/>
          </w:tcPr>
          <w:p>
            <w:r>
              <w:t>Marge par tête</w:t>
            </w:r>
          </w:p>
        </w:tc>
        <w:tc>
          <w:tcPr>
            <w:tcW w:type="dxa" w:w="5112"/>
          </w:tcPr>
          <w:p>
            <w:r>
              <w:t>Prix de vente – coût d’achat – coûts d’engraissement imputés</w:t>
            </w:r>
          </w:p>
        </w:tc>
      </w:tr>
      <w:tr>
        <w:tc>
          <w:tcPr>
            <w:tcW w:type="dxa" w:w="5112"/>
          </w:tcPr>
          <w:p>
            <w:r>
              <w:t>Marge totale</w:t>
            </w:r>
          </w:p>
        </w:tc>
        <w:tc>
          <w:tcPr>
            <w:tcW w:type="dxa" w:w="5112"/>
          </w:tcPr>
          <w:p>
            <w:r>
              <w:t>Somme des marges des bovins vendus</w:t>
            </w:r>
          </w:p>
        </w:tc>
      </w:tr>
      <w:tr>
        <w:tc>
          <w:tcPr>
            <w:tcW w:type="dxa" w:w="5112"/>
          </w:tcPr>
          <w:p>
            <w:r>
              <w:t>Chiffre d’affaires</w:t>
            </w:r>
          </w:p>
        </w:tc>
        <w:tc>
          <w:tcPr>
            <w:tcW w:type="dxa" w:w="5112"/>
          </w:tcPr>
          <w:p>
            <w:r>
              <w:t>Valeur des ventes réalisées</w:t>
            </w:r>
          </w:p>
        </w:tc>
      </w:tr>
      <w:tr>
        <w:tc>
          <w:tcPr>
            <w:tcW w:type="dxa" w:w="5112"/>
          </w:tcPr>
          <w:p>
            <w:r>
              <w:t>Trésorerie disponible</w:t>
            </w:r>
          </w:p>
        </w:tc>
        <w:tc>
          <w:tcPr>
            <w:tcW w:type="dxa" w:w="5112"/>
          </w:tcPr>
          <w:p>
            <w:r>
              <w:t>Liquidités disponibles pour l’exploitation et le service de la dette</w:t>
            </w:r>
          </w:p>
        </w:tc>
      </w:tr>
      <w:tr>
        <w:tc>
          <w:tcPr>
            <w:tcW w:type="dxa" w:w="5112"/>
          </w:tcPr>
          <w:p>
            <w:r>
              <w:t>Taux d’utilisation du financement</w:t>
            </w:r>
          </w:p>
        </w:tc>
        <w:tc>
          <w:tcPr>
            <w:tcW w:type="dxa" w:w="5112"/>
          </w:tcPr>
          <w:p>
            <w:r>
              <w:t>Financement utilisé / financement accordé</w:t>
            </w:r>
          </w:p>
        </w:tc>
      </w:tr>
      <w:tr>
        <w:tc>
          <w:tcPr>
            <w:tcW w:type="dxa" w:w="5112"/>
          </w:tcPr>
          <w:p>
            <w:r>
              <w:t>Échéances</w:t>
            </w:r>
          </w:p>
        </w:tc>
        <w:tc>
          <w:tcPr>
            <w:tcW w:type="dxa" w:w="5112"/>
          </w:tcPr>
          <w:p>
            <w:r>
              <w:t>Payées, à payer, en retard</w:t>
            </w:r>
          </w:p>
        </w:tc>
      </w:tr>
    </w:tbl>
    <w:p>
      <w:pPr>
        <w:pStyle w:val="Heading1"/>
      </w:pPr>
      <w:r>
        <w:t>3. Règle simple d’imputation des coûts</w:t>
      </w:r>
    </w:p>
    <w:p>
      <w:r>
        <w:t>Pour éviter une gestion trop complexe, les coûts communs d’alimentation sont répartis par tête. Exemple : un sac coûte 12 000 FCFA et est consommé par 10 bovins ; l’application impute 1 200 FCFA à chacun des 10 bovins. Les coûts s’accumulent jusqu’à la vente.</w:t>
      </w:r>
    </w:p>
    <w:p>
      <w:pPr>
        <w:pStyle w:val="Heading1"/>
      </w:pPr>
      <w:r>
        <w:t>4. Exemple de marge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Par bovin (FCFA)</w:t>
            </w:r>
          </w:p>
        </w:tc>
      </w:tr>
      <w:tr>
        <w:tc>
          <w:tcPr>
            <w:tcW w:type="dxa" w:w="5112"/>
          </w:tcPr>
          <w:p>
            <w:r>
              <w:t>Prix d’achat</w:t>
            </w:r>
          </w:p>
        </w:tc>
        <w:tc>
          <w:tcPr>
            <w:tcW w:type="dxa" w:w="5112"/>
          </w:tcPr>
          <w:p>
            <w:r>
              <w:t>450 000</w:t>
            </w:r>
          </w:p>
        </w:tc>
      </w:tr>
      <w:tr>
        <w:tc>
          <w:tcPr>
            <w:tcW w:type="dxa" w:w="5112"/>
          </w:tcPr>
          <w:p>
            <w:r>
              <w:t>Coûts d’engraissement cumulés</w:t>
            </w:r>
          </w:p>
        </w:tc>
        <w:tc>
          <w:tcPr>
            <w:tcW w:type="dxa" w:w="5112"/>
          </w:tcPr>
          <w:p>
            <w:r>
              <w:t>30 000</w:t>
            </w:r>
          </w:p>
        </w:tc>
      </w:tr>
      <w:tr>
        <w:tc>
          <w:tcPr>
            <w:tcW w:type="dxa" w:w="5112"/>
          </w:tcPr>
          <w:p>
            <w:r>
              <w:t>Coût de revient</w:t>
            </w:r>
          </w:p>
        </w:tc>
        <w:tc>
          <w:tcPr>
            <w:tcW w:type="dxa" w:w="5112"/>
          </w:tcPr>
          <w:p>
            <w:r>
              <w:t>480 000</w:t>
            </w:r>
          </w:p>
        </w:tc>
      </w:tr>
      <w:tr>
        <w:tc>
          <w:tcPr>
            <w:tcW w:type="dxa" w:w="5112"/>
          </w:tcPr>
          <w:p>
            <w:r>
              <w:t>Prix de vente</w:t>
            </w:r>
          </w:p>
        </w:tc>
        <w:tc>
          <w:tcPr>
            <w:tcW w:type="dxa" w:w="5112"/>
          </w:tcPr>
          <w:p>
            <w:r>
              <w:t>550 000</w:t>
            </w:r>
          </w:p>
        </w:tc>
      </w:tr>
      <w:tr>
        <w:tc>
          <w:tcPr>
            <w:tcW w:type="dxa" w:w="5112"/>
          </w:tcPr>
          <w:p>
            <w:r>
              <w:t>Marge</w:t>
            </w:r>
          </w:p>
        </w:tc>
        <w:tc>
          <w:tcPr>
            <w:tcW w:type="dxa" w:w="5112"/>
          </w:tcPr>
          <w:p>
            <w:r>
              <w:t>70 000</w:t>
            </w:r>
          </w:p>
        </w:tc>
      </w:tr>
    </w:tbl>
    <w:p>
      <w:pPr>
        <w:pStyle w:val="Heading1"/>
      </w:pPr>
      <w:r>
        <w:t>5. Format du reporting mensuel</w:t>
      </w:r>
    </w:p>
    <w:p>
      <w:pPr>
        <w:pStyle w:val="ListBullet"/>
      </w:pPr>
      <w:r>
        <w:t>Une page de synthèse avec les KPI, les écarts importants et les alertes.</w:t>
      </w:r>
    </w:p>
    <w:p>
      <w:pPr>
        <w:pStyle w:val="ListBullet"/>
      </w:pPr>
      <w:r>
        <w:t>Un commentaire de gestion : faits marquants, difficultés et mesures correctives.</w:t>
      </w:r>
    </w:p>
    <w:p>
      <w:pPr>
        <w:pStyle w:val="ListBullet"/>
      </w:pPr>
      <w:r>
        <w:t>Un état du financement et des échéances.</w:t>
      </w:r>
    </w:p>
    <w:p>
      <w:pPr>
        <w:pStyle w:val="ListBullet"/>
      </w:pPr>
      <w:r>
        <w:t>Une annexe détaillée disponible si le bailleur souhaite vérifier les données.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