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AE957" w14:textId="77777777" w:rsidR="00440CB3" w:rsidRPr="00440CB3" w:rsidRDefault="00440CB3" w:rsidP="00440CB3">
      <w:pPr>
        <w:shd w:val="clear" w:color="auto" w:fill="FFFFFF"/>
        <w:spacing w:before="60" w:after="240" w:line="240" w:lineRule="auto"/>
        <w:textAlignment w:val="baseline"/>
        <w:outlineLvl w:val="0"/>
        <w:rPr>
          <w:rFonts w:ascii="Arial" w:eastAsia="Times New Roman" w:hAnsi="Arial" w:cs="Arial"/>
          <w:color w:val="000000"/>
          <w:kern w:val="36"/>
          <w:sz w:val="36"/>
          <w:szCs w:val="36"/>
          <w:lang w:eastAsia="en-PH"/>
        </w:rPr>
      </w:pPr>
      <w:r w:rsidRPr="00440CB3">
        <w:rPr>
          <w:rFonts w:ascii="Arial" w:eastAsia="Times New Roman" w:hAnsi="Arial" w:cs="Arial"/>
          <w:color w:val="000000"/>
          <w:kern w:val="36"/>
          <w:sz w:val="36"/>
          <w:szCs w:val="36"/>
          <w:lang w:eastAsia="en-PH"/>
        </w:rPr>
        <w:t>Context</w:t>
      </w:r>
    </w:p>
    <w:p w14:paraId="42269901" w14:textId="77777777" w:rsidR="00440CB3" w:rsidRPr="00440CB3" w:rsidRDefault="00440CB3" w:rsidP="00440CB3">
      <w:pPr>
        <w:shd w:val="clear" w:color="auto" w:fill="FFFFFF"/>
        <w:spacing w:after="0"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The </w:t>
      </w:r>
      <w:hyperlink r:id="rId5" w:history="1">
        <w:r w:rsidRPr="00440CB3">
          <w:rPr>
            <w:rFonts w:ascii="Arial" w:eastAsia="Times New Roman" w:hAnsi="Arial" w:cs="Arial"/>
            <w:color w:val="008ABC"/>
            <w:sz w:val="21"/>
            <w:szCs w:val="21"/>
            <w:u w:val="single"/>
            <w:bdr w:val="none" w:sz="0" w:space="0" w:color="auto" w:frame="1"/>
            <w:lang w:eastAsia="en-PH"/>
          </w:rPr>
          <w:t>National Health and Nutrition Examination Survey (NHANES)</w:t>
        </w:r>
      </w:hyperlink>
      <w:r w:rsidRPr="00440CB3">
        <w:rPr>
          <w:rFonts w:ascii="Arial" w:eastAsia="Times New Roman" w:hAnsi="Arial" w:cs="Arial"/>
          <w:sz w:val="21"/>
          <w:szCs w:val="21"/>
          <w:lang w:eastAsia="en-PH"/>
        </w:rPr>
        <w:t> is a program of studies designed to assess the health and nutritional status of adults and children in the United States. The survey is unique in that it combines interviews and physical examinations. NHANES is a major program of the National Center for Health Statistics (NCHS). NCHS is part of the Centers for Disease Control and Prevention (CDC) and has the responsibility for producing vital and health statistics for the Nation.</w:t>
      </w:r>
    </w:p>
    <w:p w14:paraId="5DC89281" w14:textId="77777777" w:rsidR="00440CB3" w:rsidRPr="00440CB3" w:rsidRDefault="00440CB3" w:rsidP="00440CB3">
      <w:pPr>
        <w:shd w:val="clear" w:color="auto" w:fill="FFFFFF"/>
        <w:spacing w:before="158" w:after="158"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The NHANES program began in the early 1960s and has been conducted as a series of surveys focusing on different population groups or health topics. In 1999, the survey became a continuous program that has a changing focus on a variety of health and nutrition measurements to meet emerging needs. The survey examines a nationally representative sample of about 5,000 persons each year. These persons are located in counties across the country, 15 of which are visited each year.</w:t>
      </w:r>
    </w:p>
    <w:p w14:paraId="72A94237" w14:textId="77777777" w:rsidR="00440CB3" w:rsidRPr="00440CB3" w:rsidRDefault="00440CB3" w:rsidP="00440CB3">
      <w:pPr>
        <w:shd w:val="clear" w:color="auto" w:fill="FFFFFF"/>
        <w:spacing w:before="158" w:after="158"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The NHANES interview includes demographic, socioeconomic, dietary, and health-related questions. The examination component consists of medical, dental, and physiological measurements, as well as laboratory tests administered by highly trained medical personnel.</w:t>
      </w:r>
    </w:p>
    <w:p w14:paraId="625E32A3" w14:textId="77777777" w:rsidR="00440CB3" w:rsidRPr="00440CB3" w:rsidRDefault="00440CB3" w:rsidP="00440CB3">
      <w:pPr>
        <w:shd w:val="clear" w:color="auto" w:fill="FFFFFF"/>
        <w:spacing w:after="0"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To date, </w:t>
      </w:r>
      <w:hyperlink r:id="rId6" w:history="1">
        <w:r w:rsidRPr="00440CB3">
          <w:rPr>
            <w:rFonts w:ascii="Arial" w:eastAsia="Times New Roman" w:hAnsi="Arial" w:cs="Arial"/>
            <w:color w:val="008ABC"/>
            <w:sz w:val="21"/>
            <w:szCs w:val="21"/>
            <w:u w:val="single"/>
            <w:bdr w:val="none" w:sz="0" w:space="0" w:color="auto" w:frame="1"/>
            <w:lang w:eastAsia="en-PH"/>
          </w:rPr>
          <w:t>thousands of research findings have been published using the NHANES data</w:t>
        </w:r>
      </w:hyperlink>
      <w:r w:rsidRPr="00440CB3">
        <w:rPr>
          <w:rFonts w:ascii="Arial" w:eastAsia="Times New Roman" w:hAnsi="Arial" w:cs="Arial"/>
          <w:sz w:val="21"/>
          <w:szCs w:val="21"/>
          <w:lang w:eastAsia="en-PH"/>
        </w:rPr>
        <w:t>.</w:t>
      </w:r>
    </w:p>
    <w:p w14:paraId="52C97E64" w14:textId="77777777" w:rsidR="00440CB3" w:rsidRPr="00440CB3" w:rsidRDefault="00440CB3" w:rsidP="00440CB3">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PH"/>
        </w:rPr>
      </w:pPr>
      <w:r w:rsidRPr="00440CB3">
        <w:rPr>
          <w:rFonts w:ascii="Arial" w:eastAsia="Times New Roman" w:hAnsi="Arial" w:cs="Arial"/>
          <w:color w:val="000000"/>
          <w:kern w:val="36"/>
          <w:sz w:val="36"/>
          <w:szCs w:val="36"/>
          <w:lang w:eastAsia="en-PH"/>
        </w:rPr>
        <w:t>Content</w:t>
      </w:r>
    </w:p>
    <w:p w14:paraId="1702A0BE" w14:textId="77777777" w:rsidR="00440CB3" w:rsidRPr="00440CB3" w:rsidRDefault="00440CB3" w:rsidP="00440CB3">
      <w:pPr>
        <w:shd w:val="clear" w:color="auto" w:fill="FFFFFF"/>
        <w:spacing w:after="0" w:line="240" w:lineRule="auto"/>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The </w:t>
      </w:r>
      <w:hyperlink r:id="rId7" w:history="1">
        <w:r w:rsidRPr="00440CB3">
          <w:rPr>
            <w:rFonts w:ascii="Arial" w:eastAsia="Times New Roman" w:hAnsi="Arial" w:cs="Arial"/>
            <w:color w:val="008ABC"/>
            <w:sz w:val="21"/>
            <w:szCs w:val="21"/>
            <w:u w:val="single"/>
            <w:bdr w:val="none" w:sz="0" w:space="0" w:color="auto" w:frame="1"/>
            <w:lang w:eastAsia="en-PH"/>
          </w:rPr>
          <w:t>2013-2014 NHANES</w:t>
        </w:r>
      </w:hyperlink>
      <w:r w:rsidRPr="00440CB3">
        <w:rPr>
          <w:rFonts w:ascii="Arial" w:eastAsia="Times New Roman" w:hAnsi="Arial" w:cs="Arial"/>
          <w:sz w:val="21"/>
          <w:szCs w:val="21"/>
          <w:lang w:eastAsia="en-PH"/>
        </w:rPr>
        <w:t> datasets include the following components:</w:t>
      </w:r>
    </w:p>
    <w:p w14:paraId="5ADD4767"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Demographics dataset</w:t>
      </w:r>
      <w:r w:rsidRPr="00440CB3">
        <w:rPr>
          <w:rFonts w:ascii="Arial" w:eastAsia="Times New Roman" w:hAnsi="Arial" w:cs="Arial"/>
          <w:sz w:val="21"/>
          <w:szCs w:val="21"/>
          <w:lang w:eastAsia="en-PH"/>
        </w:rPr>
        <w:t>:</w:t>
      </w:r>
    </w:p>
    <w:p w14:paraId="760924F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8" w:history="1">
        <w:r w:rsidRPr="00440CB3">
          <w:rPr>
            <w:rFonts w:ascii="Arial" w:eastAsia="Times New Roman" w:hAnsi="Arial" w:cs="Arial"/>
            <w:color w:val="008ABC"/>
            <w:sz w:val="21"/>
            <w:szCs w:val="21"/>
            <w:u w:val="single"/>
            <w:bdr w:val="none" w:sz="0" w:space="0" w:color="auto" w:frame="1"/>
            <w:lang w:eastAsia="en-PH"/>
          </w:rPr>
          <w:t>here</w:t>
        </w:r>
      </w:hyperlink>
    </w:p>
    <w:p w14:paraId="57DBFCCF"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Examinations dataset</w:t>
      </w:r>
      <w:r w:rsidRPr="00440CB3">
        <w:rPr>
          <w:rFonts w:ascii="Arial" w:eastAsia="Times New Roman" w:hAnsi="Arial" w:cs="Arial"/>
          <w:sz w:val="21"/>
          <w:szCs w:val="21"/>
          <w:lang w:eastAsia="en-PH"/>
        </w:rPr>
        <w:t>, which contains:</w:t>
      </w:r>
    </w:p>
    <w:p w14:paraId="2D7E6C6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pressure</w:t>
      </w:r>
    </w:p>
    <w:p w14:paraId="6610EDFA"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Body measures</w:t>
      </w:r>
    </w:p>
    <w:p w14:paraId="32866BC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Muscle strength - grip test</w:t>
      </w:r>
    </w:p>
    <w:p w14:paraId="69E0C67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Oral health - dentition</w:t>
      </w:r>
    </w:p>
    <w:p w14:paraId="6F29DC8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Taste &amp; smell</w:t>
      </w:r>
    </w:p>
    <w:p w14:paraId="33FD199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9" w:history="1">
        <w:r w:rsidRPr="00440CB3">
          <w:rPr>
            <w:rFonts w:ascii="Arial" w:eastAsia="Times New Roman" w:hAnsi="Arial" w:cs="Arial"/>
            <w:color w:val="008ABC"/>
            <w:sz w:val="21"/>
            <w:szCs w:val="21"/>
            <w:u w:val="single"/>
            <w:bdr w:val="none" w:sz="0" w:space="0" w:color="auto" w:frame="1"/>
            <w:lang w:eastAsia="en-PH"/>
          </w:rPr>
          <w:t>here</w:t>
        </w:r>
      </w:hyperlink>
    </w:p>
    <w:p w14:paraId="0FCB1F01"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Dietary data - total nutrient intake, first day</w:t>
      </w:r>
      <w:r w:rsidRPr="00440CB3">
        <w:rPr>
          <w:rFonts w:ascii="Arial" w:eastAsia="Times New Roman" w:hAnsi="Arial" w:cs="Arial"/>
          <w:sz w:val="21"/>
          <w:szCs w:val="21"/>
          <w:lang w:eastAsia="en-PH"/>
        </w:rPr>
        <w:t>:</w:t>
      </w:r>
    </w:p>
    <w:p w14:paraId="7E7133D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10" w:history="1">
        <w:r w:rsidRPr="00440CB3">
          <w:rPr>
            <w:rFonts w:ascii="Arial" w:eastAsia="Times New Roman" w:hAnsi="Arial" w:cs="Arial"/>
            <w:color w:val="008ABC"/>
            <w:sz w:val="21"/>
            <w:szCs w:val="21"/>
            <w:u w:val="single"/>
            <w:bdr w:val="none" w:sz="0" w:space="0" w:color="auto" w:frame="1"/>
            <w:lang w:eastAsia="en-PH"/>
          </w:rPr>
          <w:t>here</w:t>
        </w:r>
      </w:hyperlink>
    </w:p>
    <w:p w14:paraId="57DEAE13"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Laboratory dataset</w:t>
      </w:r>
      <w:r w:rsidRPr="00440CB3">
        <w:rPr>
          <w:rFonts w:ascii="Arial" w:eastAsia="Times New Roman" w:hAnsi="Arial" w:cs="Arial"/>
          <w:sz w:val="21"/>
          <w:szCs w:val="21"/>
          <w:lang w:eastAsia="en-PH"/>
        </w:rPr>
        <w:t>, which includes:</w:t>
      </w:r>
    </w:p>
    <w:p w14:paraId="14C8E93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Albumin &amp; Creatinine - Urine</w:t>
      </w:r>
    </w:p>
    <w:p w14:paraId="7AA6D1E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Apolipoprotein B</w:t>
      </w:r>
    </w:p>
    <w:p w14:paraId="6CD00B6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Lead, Cadmium, Total Mercury, Selenium, and Manganese</w:t>
      </w:r>
    </w:p>
    <w:p w14:paraId="0452189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mercury: inorganic, ethyl and methyl</w:t>
      </w:r>
    </w:p>
    <w:p w14:paraId="5C86AFF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Cholesterol - HDL</w:t>
      </w:r>
    </w:p>
    <w:p w14:paraId="3619D01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Cholesterol - LDL &amp; Triglycerides</w:t>
      </w:r>
    </w:p>
    <w:p w14:paraId="17515DD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Cholesterol - Total</w:t>
      </w:r>
    </w:p>
    <w:p w14:paraId="27891C1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Complete Blood Count with 5-part Differential - Whole Blood</w:t>
      </w:r>
    </w:p>
    <w:p w14:paraId="5207F0FA"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Copper, Selenium &amp; Zinc - Serum</w:t>
      </w:r>
    </w:p>
    <w:p w14:paraId="15B4975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Fasting Questionnaire</w:t>
      </w:r>
    </w:p>
    <w:p w14:paraId="4C1F9DE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Fluoride - Plasma</w:t>
      </w:r>
    </w:p>
    <w:p w14:paraId="73F8AB6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Fluoride - Water</w:t>
      </w:r>
    </w:p>
    <w:p w14:paraId="25D5B45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Glycohemoglobin</w:t>
      </w:r>
    </w:p>
    <w:p w14:paraId="1274408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Hepatitis A</w:t>
      </w:r>
    </w:p>
    <w:p w14:paraId="10DD3DF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Hepatitis B Surface Antibody</w:t>
      </w:r>
    </w:p>
    <w:p w14:paraId="129FC17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lastRenderedPageBreak/>
        <w:t>Hepatitis B: core antibody, surface antigen, and Hepatitis D antibody</w:t>
      </w:r>
    </w:p>
    <w:p w14:paraId="15CCDE2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Hepatitis C RNA (HCV-RNA) and Hepatitis C Genotype</w:t>
      </w:r>
    </w:p>
    <w:p w14:paraId="6F741AD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Hepatitis E: IgG &amp; IgM Antibodies</w:t>
      </w:r>
    </w:p>
    <w:p w14:paraId="5435C62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Herpes Simplex Virus Type-1 &amp; Type-2</w:t>
      </w:r>
    </w:p>
    <w:p w14:paraId="2DFF945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HIV Antibody Test</w:t>
      </w:r>
    </w:p>
    <w:p w14:paraId="40E9D29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Human Papillomavirus (HPV) - Oral Rinse</w:t>
      </w:r>
    </w:p>
    <w:p w14:paraId="6540218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 xml:space="preserve">Human Papillomavirus (HPV) DNA - Vaginal Swab: Roche </w:t>
      </w:r>
      <w:proofErr w:type="spellStart"/>
      <w:r w:rsidRPr="00440CB3">
        <w:rPr>
          <w:rFonts w:ascii="Arial" w:eastAsia="Times New Roman" w:hAnsi="Arial" w:cs="Arial"/>
          <w:sz w:val="21"/>
          <w:szCs w:val="21"/>
          <w:lang w:eastAsia="en-PH"/>
        </w:rPr>
        <w:t>Cobas</w:t>
      </w:r>
      <w:proofErr w:type="spellEnd"/>
      <w:r w:rsidRPr="00440CB3">
        <w:rPr>
          <w:rFonts w:ascii="Arial" w:eastAsia="Times New Roman" w:hAnsi="Arial" w:cs="Arial"/>
          <w:sz w:val="21"/>
          <w:szCs w:val="21"/>
          <w:lang w:eastAsia="en-PH"/>
        </w:rPr>
        <w:t xml:space="preserve"> &amp; Roche Linear Array</w:t>
      </w:r>
    </w:p>
    <w:p w14:paraId="68520C0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Human Papillomavirus (HPV) DNA Results from Penile Swab Samples: Roche Linear Array</w:t>
      </w:r>
    </w:p>
    <w:p w14:paraId="2EA380C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Insulin</w:t>
      </w:r>
    </w:p>
    <w:p w14:paraId="518FC97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Iodine - Urine</w:t>
      </w:r>
    </w:p>
    <w:p w14:paraId="1430305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Perchlorate, Nitrate &amp; Thiocyanate - Urine</w:t>
      </w:r>
    </w:p>
    <w:p w14:paraId="17BB8B9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Perfluoroalkyl and Polyfluoroalkyl Substances (formerly Polyfluoroalkyl Chemicals - PFC)</w:t>
      </w:r>
    </w:p>
    <w:p w14:paraId="10E60D3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Personal Care and Consumer Product Chemicals and Metabolites</w:t>
      </w:r>
    </w:p>
    <w:p w14:paraId="64960B7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Phthalates and Plasticizers Metabolites - Urine</w:t>
      </w:r>
    </w:p>
    <w:p w14:paraId="6B4394B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Plasma Fasting Glucose</w:t>
      </w:r>
    </w:p>
    <w:p w14:paraId="1AAC6C2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Polycyclic Aromatic Hydrocarbons (PAH) - Urine</w:t>
      </w:r>
    </w:p>
    <w:p w14:paraId="63BDAE7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Standard Biochemistry Profile</w:t>
      </w:r>
    </w:p>
    <w:p w14:paraId="7EDB021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 xml:space="preserve">Tissue Transglutaminase Assay (IgA-TTG) &amp; IgA </w:t>
      </w:r>
      <w:proofErr w:type="spellStart"/>
      <w:r w:rsidRPr="00440CB3">
        <w:rPr>
          <w:rFonts w:ascii="Arial" w:eastAsia="Times New Roman" w:hAnsi="Arial" w:cs="Arial"/>
          <w:sz w:val="21"/>
          <w:szCs w:val="21"/>
          <w:lang w:eastAsia="en-PH"/>
        </w:rPr>
        <w:t>Endomyseal</w:t>
      </w:r>
      <w:proofErr w:type="spellEnd"/>
      <w:r w:rsidRPr="00440CB3">
        <w:rPr>
          <w:rFonts w:ascii="Arial" w:eastAsia="Times New Roman" w:hAnsi="Arial" w:cs="Arial"/>
          <w:sz w:val="21"/>
          <w:szCs w:val="21"/>
          <w:lang w:eastAsia="en-PH"/>
        </w:rPr>
        <w:t xml:space="preserve"> Antibody Assay (IgA EMA)</w:t>
      </w:r>
    </w:p>
    <w:p w14:paraId="32EB232A"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Trichomonas - Urine</w:t>
      </w:r>
    </w:p>
    <w:p w14:paraId="01B0C5C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Two-hour Oral Glucose Tolerance Test</w:t>
      </w:r>
    </w:p>
    <w:p w14:paraId="759FE34A"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Urinary Chlamydia</w:t>
      </w:r>
    </w:p>
    <w:p w14:paraId="11DF8E1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Urinary Mercury</w:t>
      </w:r>
    </w:p>
    <w:p w14:paraId="485ACAA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Urinary Speciated Arsenics</w:t>
      </w:r>
    </w:p>
    <w:p w14:paraId="5E1DD27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Urinary Total Arsenic</w:t>
      </w:r>
    </w:p>
    <w:p w14:paraId="391F2E7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Urine Flow Rate</w:t>
      </w:r>
    </w:p>
    <w:p w14:paraId="7C4656E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Urine Metals</w:t>
      </w:r>
    </w:p>
    <w:p w14:paraId="3180EDA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Urine Pregnancy Test</w:t>
      </w:r>
    </w:p>
    <w:p w14:paraId="3A2A04B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Vitamin B12</w:t>
      </w:r>
    </w:p>
    <w:p w14:paraId="7904EE7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data dictionary can be found </w:t>
      </w:r>
      <w:hyperlink r:id="rId11" w:history="1">
        <w:r w:rsidRPr="00440CB3">
          <w:rPr>
            <w:rFonts w:ascii="Arial" w:eastAsia="Times New Roman" w:hAnsi="Arial" w:cs="Arial"/>
            <w:color w:val="008ABC"/>
            <w:sz w:val="21"/>
            <w:szCs w:val="21"/>
            <w:u w:val="single"/>
            <w:bdr w:val="none" w:sz="0" w:space="0" w:color="auto" w:frame="1"/>
            <w:lang w:eastAsia="en-PH"/>
          </w:rPr>
          <w:t>here</w:t>
        </w:r>
      </w:hyperlink>
    </w:p>
    <w:p w14:paraId="4D3E798B"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Questionnaire dataset</w:t>
      </w:r>
      <w:r w:rsidRPr="00440CB3">
        <w:rPr>
          <w:rFonts w:ascii="Arial" w:eastAsia="Times New Roman" w:hAnsi="Arial" w:cs="Arial"/>
          <w:sz w:val="21"/>
          <w:szCs w:val="21"/>
          <w:lang w:eastAsia="en-PH"/>
        </w:rPr>
        <w:t>, which includes information on:</w:t>
      </w:r>
    </w:p>
    <w:p w14:paraId="70C9A9A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Acculturation</w:t>
      </w:r>
    </w:p>
    <w:p w14:paraId="037D610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Alcohol Use</w:t>
      </w:r>
    </w:p>
    <w:p w14:paraId="7C01085C"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Blood Pressure &amp; Cholesterol</w:t>
      </w:r>
    </w:p>
    <w:p w14:paraId="4EAAAD0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Cardiovascular Health</w:t>
      </w:r>
    </w:p>
    <w:p w14:paraId="04BDC0D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Consumer Behavior</w:t>
      </w:r>
    </w:p>
    <w:p w14:paraId="7E9BA7E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Current Health Status</w:t>
      </w:r>
    </w:p>
    <w:p w14:paraId="34856B2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Dermatology</w:t>
      </w:r>
    </w:p>
    <w:p w14:paraId="7D6C014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Diabetes</w:t>
      </w:r>
    </w:p>
    <w:p w14:paraId="337A8372"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Diet Behavior &amp; Nutrition</w:t>
      </w:r>
    </w:p>
    <w:p w14:paraId="7E11872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Disability</w:t>
      </w:r>
    </w:p>
    <w:p w14:paraId="017ABBB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Drug Use</w:t>
      </w:r>
    </w:p>
    <w:p w14:paraId="5C80E9B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Early Childhood</w:t>
      </w:r>
    </w:p>
    <w:p w14:paraId="5894250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Food Security</w:t>
      </w:r>
    </w:p>
    <w:p w14:paraId="465E087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Health Insurance</w:t>
      </w:r>
    </w:p>
    <w:p w14:paraId="20768AAE"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Hepatitis</w:t>
      </w:r>
    </w:p>
    <w:p w14:paraId="7EB2EE7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Hospital Utilization &amp; Access to Care</w:t>
      </w:r>
    </w:p>
    <w:p w14:paraId="3172CFA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Housing Characteristics</w:t>
      </w:r>
    </w:p>
    <w:p w14:paraId="1C9508B8"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Immunization</w:t>
      </w:r>
    </w:p>
    <w:p w14:paraId="1C7C468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Income</w:t>
      </w:r>
    </w:p>
    <w:p w14:paraId="66AA47B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Medical Conditions</w:t>
      </w:r>
    </w:p>
    <w:p w14:paraId="2D8D0FF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Mental Health - Depression Screener</w:t>
      </w:r>
    </w:p>
    <w:p w14:paraId="17A964B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Occupation</w:t>
      </w:r>
    </w:p>
    <w:p w14:paraId="5888D9D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Oral Health</w:t>
      </w:r>
    </w:p>
    <w:p w14:paraId="151979B4"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lastRenderedPageBreak/>
        <w:t>Osteoporosis</w:t>
      </w:r>
    </w:p>
    <w:p w14:paraId="0D5EA02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Pesticide Use</w:t>
      </w:r>
    </w:p>
    <w:p w14:paraId="0232764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Physical Activity</w:t>
      </w:r>
    </w:p>
    <w:p w14:paraId="64F106B1"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Physical Functioning</w:t>
      </w:r>
    </w:p>
    <w:p w14:paraId="0D9AA047"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Preventive Aspirin Use</w:t>
      </w:r>
    </w:p>
    <w:p w14:paraId="00038476"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Reproductive Health</w:t>
      </w:r>
    </w:p>
    <w:p w14:paraId="21FD4CF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Sexual Behavior</w:t>
      </w:r>
    </w:p>
    <w:p w14:paraId="0D7EEFD0"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Sleep Disorders</w:t>
      </w:r>
    </w:p>
    <w:p w14:paraId="59C2A97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Cigarette Use</w:t>
      </w:r>
    </w:p>
    <w:p w14:paraId="1BEBDA1D"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Household Smokers</w:t>
      </w:r>
    </w:p>
    <w:p w14:paraId="421B5C3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Recent Tobacco Use</w:t>
      </w:r>
    </w:p>
    <w:p w14:paraId="2EAD36A5"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Smoking - Secondhand Smoke Exposure</w:t>
      </w:r>
    </w:p>
    <w:p w14:paraId="4616262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Taste &amp; Smell</w:t>
      </w:r>
    </w:p>
    <w:p w14:paraId="5AC30B5F"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Weight History</w:t>
      </w:r>
    </w:p>
    <w:p w14:paraId="07982DDB"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Weight History - Youth</w:t>
      </w:r>
    </w:p>
    <w:p w14:paraId="7423E513"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12" w:history="1">
        <w:r w:rsidRPr="00440CB3">
          <w:rPr>
            <w:rFonts w:ascii="Arial" w:eastAsia="Times New Roman" w:hAnsi="Arial" w:cs="Arial"/>
            <w:color w:val="008ABC"/>
            <w:sz w:val="21"/>
            <w:szCs w:val="21"/>
            <w:u w:val="single"/>
            <w:bdr w:val="none" w:sz="0" w:space="0" w:color="auto" w:frame="1"/>
            <w:lang w:eastAsia="en-PH"/>
          </w:rPr>
          <w:t>here</w:t>
        </w:r>
      </w:hyperlink>
    </w:p>
    <w:p w14:paraId="201804C9" w14:textId="77777777" w:rsidR="00440CB3" w:rsidRPr="00440CB3" w:rsidRDefault="00440CB3" w:rsidP="00440CB3">
      <w:pPr>
        <w:numPr>
          <w:ilvl w:val="0"/>
          <w:numId w:val="1"/>
        </w:numPr>
        <w:shd w:val="clear" w:color="auto" w:fill="FFFFFF"/>
        <w:spacing w:after="0" w:line="240" w:lineRule="auto"/>
        <w:ind w:left="0"/>
        <w:textAlignment w:val="baseline"/>
        <w:rPr>
          <w:rFonts w:ascii="Arial" w:eastAsia="Times New Roman" w:hAnsi="Arial" w:cs="Arial"/>
          <w:sz w:val="21"/>
          <w:szCs w:val="21"/>
          <w:lang w:eastAsia="en-PH"/>
        </w:rPr>
      </w:pPr>
      <w:r w:rsidRPr="00440CB3">
        <w:rPr>
          <w:rFonts w:ascii="inherit" w:eastAsia="Times New Roman" w:hAnsi="inherit" w:cs="Arial"/>
          <w:sz w:val="21"/>
          <w:szCs w:val="21"/>
          <w:bdr w:val="none" w:sz="0" w:space="0" w:color="auto" w:frame="1"/>
          <w:lang w:eastAsia="en-PH"/>
        </w:rPr>
        <w:t>Medication dataset</w:t>
      </w:r>
      <w:r w:rsidRPr="00440CB3">
        <w:rPr>
          <w:rFonts w:ascii="Arial" w:eastAsia="Times New Roman" w:hAnsi="Arial" w:cs="Arial"/>
          <w:sz w:val="21"/>
          <w:szCs w:val="21"/>
          <w:lang w:eastAsia="en-PH"/>
        </w:rPr>
        <w:t>, which includes prescription medications:</w:t>
      </w:r>
    </w:p>
    <w:p w14:paraId="547C68A9" w14:textId="77777777" w:rsidR="00440CB3" w:rsidRPr="00440CB3" w:rsidRDefault="00440CB3" w:rsidP="00440CB3">
      <w:pPr>
        <w:numPr>
          <w:ilvl w:val="1"/>
          <w:numId w:val="1"/>
        </w:numPr>
        <w:shd w:val="clear" w:color="auto" w:fill="FFFFFF"/>
        <w:spacing w:after="0" w:line="240" w:lineRule="auto"/>
        <w:ind w:left="180"/>
        <w:textAlignment w:val="baseline"/>
        <w:rPr>
          <w:rFonts w:ascii="Arial" w:eastAsia="Times New Roman" w:hAnsi="Arial" w:cs="Arial"/>
          <w:sz w:val="21"/>
          <w:szCs w:val="21"/>
          <w:lang w:eastAsia="en-PH"/>
        </w:rPr>
      </w:pPr>
      <w:r w:rsidRPr="00440CB3">
        <w:rPr>
          <w:rFonts w:ascii="Arial" w:eastAsia="Times New Roman" w:hAnsi="Arial" w:cs="Arial"/>
          <w:sz w:val="21"/>
          <w:szCs w:val="21"/>
          <w:lang w:eastAsia="en-PH"/>
        </w:rPr>
        <w:t>A complete variable dictionary can be found </w:t>
      </w:r>
      <w:hyperlink r:id="rId13" w:history="1">
        <w:r w:rsidRPr="00440CB3">
          <w:rPr>
            <w:rFonts w:ascii="Arial" w:eastAsia="Times New Roman" w:hAnsi="Arial" w:cs="Arial"/>
            <w:color w:val="008ABC"/>
            <w:sz w:val="21"/>
            <w:szCs w:val="21"/>
            <w:u w:val="single"/>
            <w:bdr w:val="none" w:sz="0" w:space="0" w:color="auto" w:frame="1"/>
            <w:lang w:eastAsia="en-PH"/>
          </w:rPr>
          <w:t>here</w:t>
        </w:r>
      </w:hyperlink>
    </w:p>
    <w:p w14:paraId="43C80CD6" w14:textId="77777777" w:rsidR="00CE239D" w:rsidRDefault="00CE239D">
      <w:bookmarkStart w:id="0" w:name="_GoBack"/>
      <w:bookmarkEnd w:id="0"/>
    </w:p>
    <w:sectPr w:rsidR="00CE2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77B59"/>
    <w:multiLevelType w:val="multilevel"/>
    <w:tmpl w:val="C890E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B3"/>
    <w:rsid w:val="00027C70"/>
    <w:rsid w:val="001D04FE"/>
    <w:rsid w:val="00440CB3"/>
    <w:rsid w:val="00CE23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7039"/>
  <w15:chartTrackingRefBased/>
  <w15:docId w15:val="{4971130D-573A-48A7-8D6D-F72D361F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CB3"/>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440CB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440CB3"/>
    <w:rPr>
      <w:color w:val="0000FF"/>
      <w:u w:val="single"/>
    </w:rPr>
  </w:style>
  <w:style w:type="character" w:styleId="Strong">
    <w:name w:val="Strong"/>
    <w:basedOn w:val="DefaultParagraphFont"/>
    <w:uiPriority w:val="22"/>
    <w:qFormat/>
    <w:rsid w:val="00440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variablelist.aspx?Component=Demographics&amp;CycleBeginYear=2013" TargetMode="External"/><Relationship Id="rId13" Type="http://schemas.openxmlformats.org/officeDocument/2006/relationships/hyperlink" Target="https://wwwn.cdc.gov/Nchs/Nhanes/Search/variablelist.aspx?Component=Questionnaire&amp;CycleBeginYear=2013" TargetMode="External"/><Relationship Id="rId3" Type="http://schemas.openxmlformats.org/officeDocument/2006/relationships/settings" Target="settings.xml"/><Relationship Id="rId7" Type="http://schemas.openxmlformats.org/officeDocument/2006/relationships/hyperlink" Target="https://wwwn.cdc.gov/Nchs/Nhanes/Search/Nhanes13_14.aspx" TargetMode="External"/><Relationship Id="rId12" Type="http://schemas.openxmlformats.org/officeDocument/2006/relationships/hyperlink" Target="https://wwwn.cdc.gov/Nchs/Nhanes/Search/variablelist.aspx?Component=Questionnaire&amp;CycleBeginYear=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orig_db=PubMed&amp;term=NHANES&amp;cmd=search" TargetMode="External"/><Relationship Id="rId11" Type="http://schemas.openxmlformats.org/officeDocument/2006/relationships/hyperlink" Target="https://wwwn.cdc.gov/Nchs/Nhanes/Search/variablelist.aspx?Component=Laboratory&amp;CycleBeginYear=2013" TargetMode="External"/><Relationship Id="rId5" Type="http://schemas.openxmlformats.org/officeDocument/2006/relationships/hyperlink" Target="https://www.cdc.gov/Nchs/Nhanes/about_nhanes.htm" TargetMode="External"/><Relationship Id="rId15" Type="http://schemas.openxmlformats.org/officeDocument/2006/relationships/theme" Target="theme/theme1.xml"/><Relationship Id="rId10" Type="http://schemas.openxmlformats.org/officeDocument/2006/relationships/hyperlink" Target="https://wwwn.cdc.gov/Nchs/Nhanes/Search/variablelist.aspx?Component=Dietary&amp;CycleBeginYear=2013" TargetMode="External"/><Relationship Id="rId4" Type="http://schemas.openxmlformats.org/officeDocument/2006/relationships/webSettings" Target="webSettings.xml"/><Relationship Id="rId9" Type="http://schemas.openxmlformats.org/officeDocument/2006/relationships/hyperlink" Target="https://wwwn.cdc.gov/Nchs/Nhanes/Search/variablelist.aspx?Component=Examination&amp;CycleBeginYear=20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2019-07-30T03:29:00Z</dcterms:created>
  <dcterms:modified xsi:type="dcterms:W3CDTF">2019-07-30T03:31:00Z</dcterms:modified>
</cp:coreProperties>
</file>