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15 de marzo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Raymundo Bautista Flores. Me dirijo a usted con el propósito de compartir la trayectoria que he desarrollado como líder vecinal, con la intención de que esta experiencia pueda ser considerada dentro del ecosistema de conocimiento y aprendizaje situado.</w:t>
      </w:r>
    </w:p>
    <w:p>
      <w:pPr>
        <w:pStyle w:val="BodyText"/>
      </w:pPr>
      <w:r>
        <w:t xml:space="preserve">Soy de Huautla de Jiménez, Oaxaca. Crecí hablando mazateco; el español lo fui aprendiendo después, en la escuela y en los mandados.</w:t>
      </w:r>
    </w:p>
    <w:p>
      <w:pPr>
        <w:pStyle w:val="BodyText"/>
      </w:pPr>
      <w:r>
        <w:t xml:space="preserve">Salí de mi pueblo a los 23 años. En Cuernavaca, Morelos aprendí que hay puertas que se abren con el español y puertas que solo se abren con la confianza.</w:t>
      </w:r>
    </w:p>
    <w:p>
      <w:pPr>
        <w:pStyle w:val="BodyText"/>
      </w:pPr>
      <w:r>
        <w:t xml:space="preserve">Soy líder vecinal en la colonia Ampliación Lázaro Cárdenas. Mi trabajo empieza donde empieza el agua estancada: una cubeta, una llanta, un florero del panteón.</w:t>
      </w:r>
    </w:p>
    <w:p>
      <w:pPr>
        <w:pStyle w:val="BodyText"/>
      </w:pPr>
      <w:r>
        <w:t xml:space="preserve">Participé en la jornada de descacharrización de marzo de 2026 en la colonia Ampliación Lázaro Cárdenas. Sacamos camiones enteros de cacharros, pero lo más importante no fueron los fierros: fueron las pláticas en las banquetas, donde la gente cuenta por qué guarda el agua, por qué desconfía, por qué está cansada.</w:t>
      </w:r>
    </w:p>
    <w:p>
      <w:pPr>
        <w:pStyle w:val="BodyText"/>
      </w:pPr>
      <w:r>
        <w:t xml:space="preserve">Los casos asintomáticos son la mayoría, eso nos explicaron los epidemiólogos. O sea que el vecino que se siente bien también puede estar moviendo el virus. Explicar eso sin asustar es un arte que nadie nos enseñó.</w:t>
      </w:r>
    </w:p>
    <w:p>
      <w:pPr>
        <w:pStyle w:val="BodyText"/>
      </w:pPr>
      <w:r>
        <w:t xml:space="preserve">Hubo una casa donde encontramos veintitrés criaderos. No era descuido: era una familia que junta agua porque la pipa pasa cada quince días. El criadero era la punta; abajo estaba la desigualdad.</w:t>
      </w:r>
    </w:p>
    <w:p>
      <w:pPr>
        <w:pStyle w:val="BodyText"/>
      </w:pPr>
      <w:r>
        <w:t xml:space="preserve">Después del huracán se llenó todo de recipientes y la gente tenía otras urgencias. Pedirles que pensaran en mosquitos parecía una burla. Aprendí que la prevención tiene calendario, y el calendario lo pone la vida de la gente, no la campaña.</w:t>
      </w:r>
    </w:p>
    <w:p>
      <w:pPr>
        <w:pStyle w:val="BodyText"/>
      </w:pPr>
      <w:r>
        <w:t xml:space="preserve">En el mercado la cosa es distinta: los comerciantes no pueden dejar el puesto para ir a pláticas. Entonces la plática va al puesto. Cinco minutos, un volante, una revisada a las cubetas, y a la siguiente.</w:t>
      </w:r>
    </w:p>
    <w:p>
      <w:pPr>
        <w:pStyle w:val="BodyText"/>
      </w:pPr>
      <w:r>
        <w:t xml:space="preserve">Cuando el centro de salud organizó pláticas de dengue, me pidieron traducirlas al mazateco. Fue la primera vez que una campaña de salud habló mi idioma, literalmente.</w:t>
      </w:r>
    </w:p>
    <w:p>
      <w:pPr>
        <w:pStyle w:val="BodyText"/>
      </w:pPr>
      <w:r>
        <w:t xml:space="preserve">Seguimos porque la colonia es nuestra. Aquí viven mis hijos, aquí se enferma mi gente. Eso no lo paga la quincena.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Raymundo Bautista Flores</w:t>
      </w:r>
      <w:r>
        <w:t xml:space="preserve"> </w:t>
      </w:r>
      <w:r>
        <w:t xml:space="preserve">Líder vecinal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