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>ВОЗДУШНЫХ СУДОВ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 xml:space="preserve">30).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БАЗОВЫЙ КУРС»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86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2"/>
        <w:gridCol w:w="1134"/>
        <w:gridCol w:w="1134"/>
        <w:gridCol w:w="1134"/>
        <w:gridCol w:w="1285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2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1. Базовые знания по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2. Правила, процедуры и техника выполнения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3. Безопасность и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 xml:space="preserve">Раздел </w:t>
            </w:r>
            <w:r>
              <w:rPr>
                <w:b/>
                <w:szCs w:val="22"/>
              </w:rPr>
              <w:t xml:space="preserve">4. </w:t>
            </w: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b/>
                <w:szCs w:val="22"/>
              </w:rPr>
              <w:t>Раздел 5. Актуальные тенденции в области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5.1 Опыт прошлого сезона. Обзор международных тенденций в области ПОЗ ВС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Промежуточный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Семинар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Раздел 6. Практическая подготовка на учебном самолете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Практический зачет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Письменный 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  <w:r>
        <w:br w:type="page"/>
      </w:r>
    </w:p>
    <w:p>
      <w:pPr>
        <w:pStyle w:val="Heading1"/>
        <w:keepLines/>
        <w:widowControl w:val="false"/>
        <w:numPr>
          <w:ilvl w:val="0"/>
          <w:numId w:val="2"/>
        </w:numPr>
        <w:spacing w:before="0" w:after="240"/>
        <w:ind w:left="142" w:hanging="0"/>
        <w:jc w:val="left"/>
        <w:rPr/>
      </w:pPr>
      <w:r>
        <w:rPr/>
        <w:t>КАЛЕНДАРНЫЙ УЧЕБНЫЙ ГРАФИК</w:t>
      </w:r>
    </w:p>
    <w:tbl>
      <w:tblPr>
        <w:tblW w:w="993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84"/>
        <w:gridCol w:w="7698"/>
      </w:tblGrid>
      <w:tr>
        <w:trPr>
          <w:trHeight w:val="45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</w:tr>
      <w:tr>
        <w:trPr>
          <w:trHeight w:val="736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</w:tr>
      <w:tr>
        <w:trPr>
          <w:trHeight w:val="629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</w:tr>
      <w:tr>
        <w:trPr>
          <w:trHeight w:val="552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</w:tr>
      <w:tr>
        <w:trPr>
          <w:trHeight w:val="55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</w:tr>
      <w:tr>
        <w:trPr>
          <w:trHeight w:val="562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707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ung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ind w:right="142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842"/>
      <w:gridCol w:w="6096"/>
      <w:gridCol w:w="1843"/>
    </w:tblGrid>
    <w:tr>
      <w:trPr>
        <w:trHeight w:val="654" w:hRule="atLeast"/>
        <w:cantSplit w:val="true"/>
      </w:trPr>
      <w:tc>
        <w:tcPr>
          <w:tcW w:w="1842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left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 w:val="22"/>
              <w:szCs w:val="22"/>
            </w:rPr>
            <w:t>Программа повышения квалификации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«Обеспечение противообледенительной защиты ВС 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sz w:val="22"/>
              <w:szCs w:val="22"/>
            </w:rPr>
            <w:t>DI-L30). Базовый курс»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</w:r>
        </w:p>
      </w:tc>
      <w:tc>
        <w:tcPr>
          <w:tcW w:w="184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/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4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7" t="-27" r="-7" b="-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i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Times New Roman" w:hAnsi="Times New Roman" w:eastAsia="Times New Roman" w:cs="Times New Roman"/>
      <w:b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i w:val="false"/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lang w:val="ru-RU"/>
    </w:rPr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rFonts w:ascii="Times New Roman" w:hAnsi="Times New Roman" w:eastAsia="Times New Roman" w:cs="Times New Roman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color w:val="000000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lang w:val="ru-RU"/>
    </w:rPr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lang w:val="ru-RU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i w:val="false"/>
      <w:color w:val="000000"/>
    </w:rPr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rFonts w:ascii="Times New Roman" w:hAnsi="Times New Roman" w:eastAsia="Times New Roman" w:cs="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rFonts w:ascii="Times New Roman" w:hAnsi="Times New Roman" w:eastAsia="Times New Roman" w:cs="Times New Roman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0z3">
    <w:name w:val="WW8Num70z3"/>
    <w:qFormat/>
    <w:rPr>
      <w:rFonts w:ascii="Symbol" w:hAnsi="Symbol" w:cs="Symbol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i w:val="false"/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lang w:val="ru-RU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color w:val="000000"/>
    </w:rPr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rFonts w:ascii="Times New Roman" w:hAnsi="Times New Roman" w:eastAsia="Times New Roman" w:cs="Times New Roman"/>
    </w:rPr>
  </w:style>
  <w:style w:type="character" w:styleId="WW8Num78z1">
    <w:name w:val="WW8Num78z1"/>
    <w:qFormat/>
    <w:rPr>
      <w:rFonts w:ascii="Courier New" w:hAnsi="Courier New" w:cs="Courier New"/>
    </w:rPr>
  </w:style>
  <w:style w:type="character" w:styleId="WW8Num78z2">
    <w:name w:val="WW8Num78z2"/>
    <w:qFormat/>
    <w:rPr>
      <w:rFonts w:ascii="Wingdings" w:hAnsi="Wingdings" w:cs="Wingdings"/>
    </w:rPr>
  </w:style>
  <w:style w:type="character" w:styleId="WW8Num78z3">
    <w:name w:val="WW8Num78z3"/>
    <w:qFormat/>
    <w:rPr>
      <w:rFonts w:ascii="Symbol" w:hAnsi="Symbol" w:cs="Symbol"/>
    </w:rPr>
  </w:style>
  <w:style w:type="character" w:styleId="WW8Num79z0">
    <w:name w:val="WW8Num79z0"/>
    <w:qFormat/>
    <w:rPr>
      <w:color w:val="000000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11">
    <w:name w:val="Стиль1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hanging="142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Courier New"/>
      <w:color w:val="auto"/>
      <w:kern w:val="0"/>
      <w:sz w:val="24"/>
      <w:szCs w:val="20"/>
      <w:lang w:val="ru-RU" w:eastAsia="zh-CN" w:bidi="ar-SA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LibreOffice/6.3.5.2$Linux_X86_64 LibreOffice_project/30$Build-2</Application>
  <Pages>4</Pages>
  <Words>597</Words>
  <Characters>3576</Characters>
  <CharactersWithSpaces>4023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2019-11-27T13:03:00Z</dcterms:created>
  <dc:creator>Константинова</dc:creator>
  <dc:description/>
  <dc:language>en-US</dc:language>
  <cp:lastModifiedBy/>
  <cp:lastPrinted>2019-12-24T09:43:00Z</cp:lastPrinted>
  <dcterms:modified xsi:type="dcterms:W3CDTF">2020-08-16T02:29:08Z</dcterms:modified>
  <cp:revision>26</cp:revision>
  <dc:subject/>
  <dc:title>НЕГОСУДАРСТВЕННОЕ ОБРАЗОВАТЕЛЬНОЕ УЧРЕЖДЕНИЕ ВЫСШАЯ КОММЕРЧЕСКАЯ ШКОЛА «АВИАБИЗНЕС»</dc:title>
</cp:coreProperties>
</file>