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 xml:space="preserve">«ОРГАНИЗАЦИЯ НАЗЕМНОГО ОБСЛУЖИВАНИЯ ВОЗДУШНЫХ СУДОВ. </w:t>
      </w:r>
    </w:p>
    <w:p>
      <w:pPr>
        <w:pStyle w:val="Normal"/>
        <w:jc w:val="center"/>
        <w:rPr/>
      </w:pPr>
      <w:r>
        <w:rPr>
          <w:b/>
          <w:szCs w:val="24"/>
        </w:rPr>
        <w:t>БАЗОВЫЙ КУРС»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(72 часа / 9 дней)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«ОРГАНИЗАЦИЯ НАЗЕМНОГО ОБСЛУЖИВАНИЯ ВОЗДУШНЫХ СУДОВ»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left"/>
        <w:rPr/>
      </w:pPr>
      <w:r>
        <w:rPr/>
        <w:t xml:space="preserve"> </w:t>
      </w:r>
    </w:p>
    <w:p>
      <w:pPr>
        <w:pStyle w:val="Heading1"/>
        <w:jc w:val="left"/>
        <w:rPr/>
      </w:pPr>
      <w:r>
        <w:rPr/>
        <w:t>УЧЕБНО-ТЕМАТИЧЕСКИЙ ПЛАН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5000" w:type="pct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3685"/>
        <w:gridCol w:w="1096"/>
        <w:gridCol w:w="1368"/>
        <w:gridCol w:w="1497"/>
        <w:gridCol w:w="7"/>
        <w:gridCol w:w="1332"/>
      </w:tblGrid>
      <w:tr>
        <w:trPr>
          <w:tblHeader w:val="true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разделов и тем</w:t>
            </w:r>
          </w:p>
        </w:tc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Всего (час)</w:t>
            </w:r>
          </w:p>
        </w:tc>
        <w:tc>
          <w:tcPr>
            <w:tcW w:w="42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контроля</w:t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 1. Правовое регулирование наземного обслуживания воздушных судов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 1.1. Международное и национальное воздушное право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 1.2. Отраслевые документы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2. Основные строения и элементы аэродрома и аэропорта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Здание аэровокзала и здания оперативных служб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2.2. ВПП, пути руления и места стоянки ВС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3. Конструкция и классификация воздушных судов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3.1. Основные элементы конструкции воздушного судна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3.2. Классификация по типам воздушных судов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3.3. Двери и сервисные люки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3.4. </w:t>
            </w:r>
            <w:r>
              <w:rPr/>
              <w:t>Багажно-грузовые отсеки самолёта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4. Общее понимание наземного обслуживания воздушных судов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 4.1. Понятие о наземном обслуживании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4.2. Договор о наземном обслуживании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5. Основные процедуры и правила наземного обслуживания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26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Безопасность при работе на аэродроме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5.2. Основы радиообмена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Подготовка к рейсу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5.4. Подготовка/осмотр места стоянки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5.5. Встреча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5.6. Внешний осмотр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5.7. Установка/отгон средства посадки/высадки пассажиров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5.8. Подключение/отключение наземного источника электропитания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5.9. Открытие/закрытие дверей и люков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5.10. Взаимодействие участников обслуживания воздушного судна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5.11. Заправка воздушного судна авиатопливом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5.12. Обслуживание туалетной системы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5.13. Обслуживание водяной системы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5.14. Обогрев воздушного судна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5.15. Запуск двигателей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5.16. Буксировка ВС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5.17. Противообледенительная обработка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5.18. Общие сведения по центровке и контролю загрузки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5.19. Общие сведения по перевозке опасных грузов воздушным транспортом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5.20. Сопроводительная документация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5.21. Контроль технологического графика обслуживания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5.22. Расстановка спецтехники в зоне обслуживания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5.23. Обслуживание литерных и подконтрольных рейсов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6. Аварийные и чрезвычайные ситуации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Аварийно-спасательный комплекс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6.2. Утечка и разливы ГСМ в зоне обслуживания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6.3. Пожар на воздушном судне, в зоне обслуживания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6.4 Эвакуация ВС с летного поля, потерявшего способность двигаться самостоятельно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color w:val="FF0000"/>
                <w:szCs w:val="24"/>
              </w:rPr>
            </w:pPr>
            <w:r>
              <w:rPr>
                <w:b/>
                <w:szCs w:val="24"/>
              </w:rPr>
              <w:t>Раздел 7.</w:t>
            </w:r>
            <w:r>
              <w:rPr>
                <w:b/>
                <w:color w:val="FF0000"/>
                <w:szCs w:val="24"/>
              </w:rPr>
              <w:t xml:space="preserve"> </w:t>
            </w:r>
            <w:r>
              <w:rPr>
                <w:b/>
                <w:szCs w:val="24"/>
              </w:rPr>
              <w:t>Обеспечение безопасности полётов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7.1. Область применения СУБП. Политика Общества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7.2. Культура безопасности. Система добровольных сообщений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7.3. Ответственность персонала в области СУБП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8. Человеческий фактор в авиационной деятельности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8.1. Концепция влияния ЧФ в авиации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8.2. Факторы риска. «Грязная дюжина» человеческих ошибок. Модель </w:t>
            </w:r>
            <w:r>
              <w:rPr>
                <w:szCs w:val="24"/>
                <w:lang w:val="en-US"/>
              </w:rPr>
              <w:t>SHELL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8.3. Основные принципы учёта ЧФ. Стандарты ИКАО и их реализация на практике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72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8"/>
        <w:gridCol w:w="7602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Международное и национальное воздушное право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Отраслевые документы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Отраслевые документы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Здание аэровокзала и здания оперативных служб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ВПП, пути руления и места стоянки ВС</w:t>
            </w:r>
          </w:p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3.1. Основные элементы конструкции воздушного судна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3.1. Основные элементы конструкции воздушного судна</w:t>
            </w:r>
          </w:p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</w:rPr>
              <w:t>Тема 3.2. Классификация по типам воздушных судов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3.2. Классификация по типам воздушных судов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3.2. Классификация по типам воздушных судов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3.3. Двери и сервисные люки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3.4. Багажно-грузовые отсеки самолёта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4.1. Понятие о наземном обслуживании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4.2. Договор о наземном обслуживании</w:t>
            </w:r>
          </w:p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5.1. Безопасность при работе на аэродроме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5.1. Безопасность при работе на аэродроме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5.2. Основы радиообмена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5.3. Подготовка к рейсу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5.3. Подготовка к рейсу</w:t>
            </w:r>
          </w:p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5.4. Подготовка/осмотр места стоянки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5.4. Подготовка/осмотр места стоянки</w:t>
            </w:r>
          </w:p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5.5. Встреча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5.5. Встреча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5.6. Внешний осмотр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5.7. Установка/отгон средства посадки/высадки пассажиров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5.8. Подключение/отключение наземного источника электропитания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5.9. Открытие/закрытие дверей и люков ВС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5.10. Взаимодействие участников обслуживания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5.10. Взаимодействие участников обслуживания ВС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5.11. Заправка воздушного судна авиатопливом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5.11. Заправка воздушного судна авиатопливом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5.12. Обслуживание туалетной системы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5.13. Обслуживание водяной системы ВС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5.14. Обогрев воздушного судна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5.15. Запуск двигателей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5.16. Буксировка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5.16. Буксировка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5.16. Буксировка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5.17. Противообледенительная обработка ВС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5.18. Общие сведения по центровке и контролю загрузки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5.19. Общие сведения по перевозке опасных грузов воздушным транспортом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5.20. Сопроводительная документация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5.20. Сопроводительная документация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5.21. Контроль технологического графика обслуживания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5.21. Контроль технологического графика обслуживания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5.22. Расстановка спецтехники в зоне обслуживания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5.22. Расстановка спецтехники в зоне обслуживания ВС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5.23. Обслуживание литерных и подконтрольных рейсов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6.1. Аварийно-спасательный комплекс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6.2. Утечка и разливы ГСМ в зоне обслуживания ВС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6.3. Пожар на воздушном судне, в зоне обслуживания ВС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6.4. Эвакуация ВС, потерявшего способность двигаться самостоятельно, с летного поля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7.1 Область применения СУБП. Политика Общества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7.2. Культура безопасности. Система добровольных сообщений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7.3. Ответственность персонала в области СУБП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8.1. Концепция влияния ЧФ в авиации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8.2. Факторы риска. «Грязная дюжина» человеческих ошибок. Модель </w:t>
            </w:r>
            <w:r>
              <w:rPr>
                <w:szCs w:val="24"/>
                <w:lang w:val="en-US"/>
              </w:rPr>
              <w:t>SHELL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>Тема 8.3. Основные принципы учета ЧФ. Стандарты ИКАО и их реализация на практике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51"/>
      <w:gridCol w:w="6237"/>
      <w:gridCol w:w="1665"/>
    </w:tblGrid>
    <w:tr>
      <w:trPr/>
      <w:tc>
        <w:tcPr>
          <w:tcW w:w="195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«Организация наземного обслуживания воздушных судов. 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/>
          </w:pPr>
          <w:r>
            <w:rPr>
              <w:color w:val="000000"/>
              <w:sz w:val="22"/>
              <w:szCs w:val="22"/>
            </w:rPr>
            <w:t>Базовый курс»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65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5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5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b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Style15">
    <w:name w:val="Знак примечания"/>
    <w:qFormat/>
    <w:rPr>
      <w:sz w:val="16"/>
      <w:szCs w:val="16"/>
    </w:rPr>
  </w:style>
  <w:style w:type="character" w:styleId="Style16">
    <w:name w:val="Текст примечания Знак"/>
    <w:basedOn w:val="Style9"/>
    <w:qFormat/>
    <w:rPr/>
  </w:style>
  <w:style w:type="character" w:styleId="Style17">
    <w:name w:val="Тема примечания Знак"/>
    <w:qFormat/>
    <w:rPr>
      <w:b/>
      <w:bCs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9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1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2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3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Style24">
    <w:name w:val="Текст примечания"/>
    <w:basedOn w:val="Normal"/>
    <w:qFormat/>
    <w:pPr/>
    <w:rPr>
      <w:sz w:val="20"/>
    </w:rPr>
  </w:style>
  <w:style w:type="paragraph" w:styleId="Style25">
    <w:name w:val="Тема примечания"/>
    <w:basedOn w:val="Style24"/>
    <w:next w:val="Style24"/>
    <w:qFormat/>
    <w:pPr/>
    <w:rPr>
      <w:b/>
      <w:bCs/>
    </w:rPr>
  </w:style>
  <w:style w:type="paragraph" w:styleId="Style26">
    <w:name w:val="Рецензия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2019-03-25T19:35:00Z</dcterms:created>
  <dc:creator>Константинова</dc:creator>
  <dc:description/>
  <cp:keywords/>
  <dc:language>en-US</dc:language>
  <cp:lastModifiedBy>student-auc</cp:lastModifiedBy>
  <cp:lastPrinted>2019-04-18T10:10:00Z</cp:lastPrinted>
  <dcterms:modified xsi:type="dcterms:W3CDTF">2020-08-14T20:14:00Z</dcterms:modified>
  <cp:revision>20</cp:revision>
  <dc:subject/>
  <dc:title>НЕГОСУДАРСТВЕННОЕ ОБРАЗОВАТЕЛЬНОЕ УЧРЕЖДЕНИЕ ВЫСШАЯ КОММЕРЧЕСКАЯ ШКОЛА «АВИАБИЗНЕС»</dc:title>
</cp:coreProperties>
</file>