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«ПЕРЕВОЗКА ОПАСНЫХ ГРУЗОВ ВОЗДУШНЫХ ТРАНСПОРТОМ.</w:t>
        <w:br/>
        <w:t>8 КАТЕГОРИЯ ИКАО/ИАТА»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(16 часов / 2 дня)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«ОПАСНЫЕ ГРУЗЫ»</w:t>
      </w:r>
    </w:p>
    <w:p>
      <w:pPr>
        <w:pStyle w:val="Heading1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4155"/>
        <w:gridCol w:w="969"/>
        <w:gridCol w:w="1327"/>
        <w:gridCol w:w="1327"/>
        <w:gridCol w:w="1338"/>
      </w:tblGrid>
      <w:tr>
        <w:trPr>
          <w:tblHeader w:val="true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pacing w:val="-10"/>
                <w:szCs w:val="24"/>
              </w:rPr>
            </w:pPr>
            <w:r>
              <w:rPr>
                <w:b/>
                <w:spacing w:val="-10"/>
                <w:szCs w:val="24"/>
              </w:rPr>
              <w:t xml:space="preserve">№ </w:t>
            </w:r>
            <w:r>
              <w:rPr>
                <w:b/>
                <w:spacing w:val="-10"/>
                <w:szCs w:val="24"/>
              </w:rPr>
              <w:t>п/п</w:t>
            </w:r>
          </w:p>
        </w:tc>
        <w:tc>
          <w:tcPr>
            <w:tcW w:w="4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3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pacing w:val="-10"/>
                <w:sz w:val="20"/>
                <w:szCs w:val="24"/>
              </w:rPr>
            </w:pPr>
            <w:r>
              <w:rPr>
                <w:b/>
                <w:spacing w:val="-10"/>
                <w:sz w:val="20"/>
                <w:szCs w:val="24"/>
              </w:rPr>
            </w:r>
          </w:p>
        </w:tc>
        <w:tc>
          <w:tcPr>
            <w:tcW w:w="41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pacing w:val="-10"/>
                <w:szCs w:val="24"/>
              </w:rPr>
            </w:pPr>
            <w:r>
              <w:rPr>
                <w:b/>
                <w:spacing w:val="-10"/>
                <w:szCs w:val="24"/>
              </w:rPr>
            </w:r>
          </w:p>
        </w:tc>
        <w:tc>
          <w:tcPr>
            <w:tcW w:w="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 / ДОТ, ЭО*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Форма</w:t>
              <w:br/>
              <w:t>контроля</w:t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Общие положения перевозки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0,75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 Классификация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0,75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0,75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Ограничения при перевозке опасных грузов на воздушных судах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Опасные грузы, запрещённые к перевозке по воздуху при любых обстоятельствах. Опасные грузы в авиапочте. Освобождения для опасных грузов эксплуатанта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Опасные грузы в исключённых количествах и ограниченных количествах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Знаки опасности и маркировка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Знаки опасности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5. Документация для перевозки опасных грузов. Уведомление пилотов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5.1. Основные документы и их структура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6. Правила хранения и погрузки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6.1. Ограничения при погрузке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6.2. Погрузка и крепление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6.3. Погрузка отдельных классов опасных грузов. Замена маркировки грузовых мест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7. Распознавание необъявленных опасных грузов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7.1. Скрытые опасные грузы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8. Положения для пассажиров и членов экипажа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Общие положения. Требования к информированию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Опасные грузы, перевозимые пассажирами и членами экипажа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9. Порядок действий в аварийной обстановке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9.1. Упреждающие меры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9.2. Порядок действий наземного персонала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Контроль*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Экзамен/тестирование</w:t>
            </w:r>
          </w:p>
        </w:tc>
      </w:tr>
      <w:tr>
        <w:trPr/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*При очно-заочной форме подготовки с применением ДОТ, ЭО:</w:t>
      </w:r>
    </w:p>
    <w:p>
      <w:pPr>
        <w:pStyle w:val="Normal"/>
        <w:numPr>
          <w:ilvl w:val="0"/>
          <w:numId w:val="3"/>
        </w:numPr>
        <w:ind w:left="284" w:hanging="284"/>
        <w:rPr/>
      </w:pPr>
      <w:r>
        <w:rPr>
          <w:szCs w:val="24"/>
        </w:rPr>
        <w:t>теоретический материал изучается слушателями самостоятельно с использованием учебно-методических материалов, размещенных на учебном портале ВВСС;</w:t>
      </w:r>
    </w:p>
    <w:p>
      <w:pPr>
        <w:pStyle w:val="Normal"/>
        <w:numPr>
          <w:ilvl w:val="0"/>
          <w:numId w:val="3"/>
        </w:numPr>
        <w:ind w:left="284" w:hanging="284"/>
        <w:rPr>
          <w:szCs w:val="24"/>
        </w:rPr>
      </w:pPr>
      <w:r>
        <w:rPr>
          <w:szCs w:val="24"/>
        </w:rPr>
        <w:t>промежуточный контроль в виде компьютерного тестирования после изучения теоретического материала, размещенного на учебном портале ВВСС; итоговый контроль в виде сдачи экзамена по билетам после очной части обучения.</w:t>
      </w:r>
    </w:p>
    <w:p>
      <w:pPr>
        <w:pStyle w:val="Heading1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left"/>
        <w:rPr/>
      </w:pPr>
      <w:r>
        <w:rPr>
          <w:sz w:val="24"/>
          <w:szCs w:val="24"/>
        </w:rPr>
        <w:t>КАЛЕНДАРНЫЙ УЧЕБНЫЙ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Очная форма</w:t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983"/>
        <w:gridCol w:w="7127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Опасные грузы, запрещённые к перевозке по воздуху при любых обстоятельствах. Опасные грузы в авиапочте. Освобождения для опасных грузов эксплуатанта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Опасные грузы в исключённых количествах и ограниченных количествах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4.1. Знаки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  <w:p>
            <w:pPr>
              <w:pStyle w:val="Normal"/>
              <w:jc w:val="left"/>
              <w:rPr/>
            </w:pPr>
            <w:r>
              <w:rPr/>
              <w:t>Тема 5.1. Основные документы и их структура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6.1. Ограничения при погрузке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6.2. Погрузка и крепление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Погрузка отдельных классов опасных грузов. Замена маркировки грузовых мест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Скрытые опасные грузы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8.1. Общие положения. Требования к информированию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8.2. Опасные грузы, перевозимые пассажирами и членами экипажа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Опасные грузы, перевозимые пассажирами и членами экипажа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9.1. Упреждающие меры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9.2. Порядок действий наземного персонала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Контроль (экзамен)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Verdana">
    <w:charset w:val="cc"/>
    <w:family w:val="swiss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color w:val="000000"/>
              <w:sz w:val="28"/>
              <w:szCs w:val="1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  <w:br/>
            <w:t>«Перевозка опасных грузов воздушным транспортом.</w:t>
            <w:br/>
            <w:t>8 категория ИКАО/ИАТА»</w:t>
          </w:r>
        </w:p>
      </w:tc>
      <w:tc>
        <w:tcPr>
          <w:tcW w:w="1665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3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3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3">
    <w:lvl w:ilvl="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szCs w:val="24"/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Verdana" w:hAnsi="Verdana" w:cs="Verdana"/>
      <w:color w:val="00000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Times New Roman" w:hAnsi="Times New Roman" w:cs="Times New Roman"/>
      <w:szCs w:val="24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Times New Roman" w:hAnsi="Times New Roman" w:eastAsia="Times New Roman" w:cs="Times New Roman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/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Times New Roman" w:hAnsi="Times New Roman" w:eastAsia="Times New Roman" w:cs="Times New Roman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/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/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/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rFonts w:ascii="Times New Roman" w:hAnsi="Times New Roman" w:eastAsia="Times New Roman" w:cs="Times New Roman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/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/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2">
    <w:name w:val="WW8Num48z2"/>
    <w:qFormat/>
    <w:rPr>
      <w:rFonts w:ascii="Wingdings" w:hAnsi="Wingdings" w:cs="Wingdings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/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/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1z0">
    <w:name w:val="WW8Num51z0"/>
    <w:qFormat/>
    <w:rPr/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>
      <w:rFonts w:ascii="Verdana" w:hAnsi="Verdana" w:cs="Verdana"/>
      <w:color w:val="000000"/>
    </w:rPr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2">
    <w:name w:val="WW8Num52z2"/>
    <w:qFormat/>
    <w:rPr>
      <w:rFonts w:ascii="Wingdings" w:hAnsi="Wingdings" w:cs="Wingdings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>
      <w:rFonts w:ascii="Times New Roman" w:hAnsi="Times New Roman" w:cs="Times New Roman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/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/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2">
    <w:name w:val="WW8Num55z2"/>
    <w:qFormat/>
    <w:rPr>
      <w:rFonts w:ascii="Wingdings" w:hAnsi="Wingdings" w:cs="Wingdings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/>
  </w:style>
  <w:style w:type="character" w:styleId="WW8Num56z1">
    <w:name w:val="WW8Num56z1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/>
  </w:style>
  <w:style w:type="character" w:styleId="WW8Num57z1">
    <w:name w:val="WW8Num57z1"/>
    <w:qFormat/>
    <w:rPr/>
  </w:style>
  <w:style w:type="character" w:styleId="WW8Num57z2">
    <w:name w:val="WW8Num57z2"/>
    <w:qFormat/>
    <w:rPr/>
  </w:style>
  <w:style w:type="character" w:styleId="WW8Num57z3">
    <w:name w:val="WW8Num57z3"/>
    <w:qFormat/>
    <w:rPr/>
  </w:style>
  <w:style w:type="character" w:styleId="WW8Num57z4">
    <w:name w:val="WW8Num57z4"/>
    <w:qFormat/>
    <w:rPr/>
  </w:style>
  <w:style w:type="character" w:styleId="WW8Num57z5">
    <w:name w:val="WW8Num57z5"/>
    <w:qFormat/>
    <w:rPr/>
  </w:style>
  <w:style w:type="character" w:styleId="WW8Num57z6">
    <w:name w:val="WW8Num57z6"/>
    <w:qFormat/>
    <w:rPr/>
  </w:style>
  <w:style w:type="character" w:styleId="WW8Num57z7">
    <w:name w:val="WW8Num57z7"/>
    <w:qFormat/>
    <w:rPr/>
  </w:style>
  <w:style w:type="character" w:styleId="WW8Num57z8">
    <w:name w:val="WW8Num57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2020-08-10T15:42:00Z</dcterms:created>
  <dc:creator>Константинова</dc:creator>
  <dc:description/>
  <cp:keywords/>
  <dc:language>en-US</dc:language>
  <cp:lastModifiedBy>Yana A. Chumakova</cp:lastModifiedBy>
  <cp:lastPrinted>2020-01-09T09:20:00Z</cp:lastPrinted>
  <dcterms:modified xsi:type="dcterms:W3CDTF">2020-08-14T21:06:00Z</dcterms:modified>
  <cp:revision>10</cp:revision>
  <dc:subject/>
  <dc:title>НЕГОСУДАРСТВЕННОЕ ОБРАЗОВАТЕЛЬНОЕ УЧРЕЖДЕНИЕ ВЫСШАЯ КОММЕРЧЕСКАЯ ШКОЛА «АВИАБИЗНЕС»</dc:title>
</cp:coreProperties>
</file>