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678"/>
        <w:gridCol w:w="852"/>
        <w:gridCol w:w="708"/>
        <w:gridCol w:w="992"/>
        <w:gridCol w:w="851"/>
        <w:gridCol w:w="851"/>
        <w:gridCol w:w="1425"/>
      </w:tblGrid>
      <w:tr>
        <w:trPr/>
        <w:tc>
          <w:tcPr>
            <w:tcW w:w="42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2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1. Организационная часть, введение в профессию.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Терроризм и борьба с ним.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Терроризм на воздушном транспорте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2. Правовые основы функционирования службы авиационной безопасности ГА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 Законодательные нормативные акты обеспечения АБ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Закон о полиции. Закон об оружии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  <w:iCs/>
                <w:szCs w:val="24"/>
              </w:rPr>
              <w:t>Раздел 3. Структура и организация ДАБ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Структура аэропорта. Взаимодействие ДАБ с другими службами аэропорта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Организация ДАБ. Положения о ДАБ, структура, задачи, права и требования к сотрудникам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Раздел 4. Обеспечение безопасности аэропорта.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4.3 Оснащение аэропорта техническими средствами обеспечения АБ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5.  Руководство ИКАО по обучению в области человеческого фактора. Человеческий фактор в работе служб АБ.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6. Диагностика опасных предметов и веществ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 и их отличительные признаки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запрещенных предметов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Раздел 7.  Действия в чрезвычайной ситуации.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Индивидуальные обязанности сотрудников ДАБ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8.  Производство досмотра пассажиров, ручной клади и багажа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8.3. Персонал группы досмотра, технология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работы инспекторов службы досмотра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8.7. Опасные грузы. Классификация, маркировка и знаки опасности.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8.8 Ухищренные способы сокрытия предметов, запрещенных к перевозке и способы их распознавания.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8.9 Порядок перевозки оружия, досмотра сопровождаемых специальных грузов, досмотр лиц, специальных категорий.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8.10 Распознавание потенциальных преступников. Профайлинг.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8.11 Изъятие запрещенных к перевозке на ВС предметов и веществ, отчетность по результатам досмотра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 Основы профессиональной этики и психологии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9.2. Поведение сотрудника АБ при досмотре пассажиров и общении с сотрудниками аэропорта.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pacing w:val="-4"/>
                <w:szCs w:val="24"/>
              </w:rPr>
              <w:t xml:space="preserve">Раздел 10 </w:t>
            </w:r>
            <w:r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10.1 Практические навыки работы с системой моделирования теневых изображений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80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507"/>
        <w:gridCol w:w="7604"/>
      </w:tblGrid>
      <w:tr>
        <w:trPr>
          <w:tblHeader w:val="true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Оснащение аэропорта техническими средствами обеспечения АБ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Осведомленность о ситуации и командная работа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запрещённых предметов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Персонал группы досмотра, технология работы инспекторов службы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8.10. Изъятие запрещённых к перевозке на ВС предметов и веществ, отчётность по результатам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8.11. Распознавание потенциальных преступников. Профайлинг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Application>LibreOffice/6.3.5.2$Linux_X86_64 LibreOffice_project/30$Build-2</Application>
  <Pages>6</Pages>
  <Words>1433</Words>
  <Characters>7656</Characters>
  <CharactersWithSpaces>8611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2019-10-24T15:28:00Z</dcterms:created>
  <dc:creator>Константинова</dc:creator>
  <dc:description/>
  <dc:language>en-US</dc:language>
  <cp:lastModifiedBy/>
  <cp:lastPrinted>2019-10-31T09:45:00Z</cp:lastPrinted>
  <dcterms:modified xsi:type="dcterms:W3CDTF">2020-08-16T02:53:00Z</dcterms:modified>
  <cp:revision>18</cp:revision>
  <dc:subject/>
  <dc:title>НЕГОСУДАРСТВЕННОЕ ОБРАЗОВАТЕЛЬНОЕ УЧРЕЖДЕНИЕ ВЫСШАЯ КОММЕРЧЕСКАЯ ШКОЛА «АВИАБИЗНЕС»</dc:title>
</cp:coreProperties>
</file>