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«Система управления безопасностью полетов аэропортов»</w:t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b/>
          <w:i w:val="false"/>
          <w:szCs w:val="24"/>
        </w:rPr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по дисциплине:</w:t>
      </w:r>
    </w:p>
    <w:p>
      <w:pPr>
        <w:pStyle w:val="Normal"/>
        <w:ind w:right="51" w:hanging="0"/>
        <w:jc w:val="center"/>
        <w:rPr>
          <w:b/>
          <w:b/>
          <w:bCs/>
          <w:i/>
          <w:i/>
          <w:szCs w:val="24"/>
        </w:rPr>
      </w:pPr>
      <w:r>
        <w:rPr>
          <w:rStyle w:val="Emphasis"/>
          <w:b/>
          <w:i w:val="false"/>
          <w:szCs w:val="24"/>
        </w:rPr>
        <w:t>«Управление безопасностью полетов»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</w:rPr>
      </w:pPr>
      <w:bookmarkStart w:id="0" w:name="_Toc500843855"/>
      <w:r>
        <w:rPr>
          <w:b/>
        </w:rPr>
        <w:t>УЧЕБНО-ТЕМАТИЧЕСКИЙ ПЛАН</w:t>
      </w:r>
      <w:bookmarkEnd w:id="0"/>
    </w:p>
    <w:tbl>
      <w:tblPr>
        <w:tblW w:w="10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75"/>
        <w:gridCol w:w="4960"/>
        <w:gridCol w:w="992"/>
        <w:gridCol w:w="992"/>
        <w:gridCol w:w="1137"/>
        <w:gridCol w:w="1273"/>
      </w:tblGrid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  <w:r>
              <w:rPr>
                <w:szCs w:val="24"/>
              </w:rPr>
              <w:t>п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п</w:t>
            </w:r>
          </w:p>
        </w:tc>
        <w:tc>
          <w:tcPr>
            <w:tcW w:w="4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</w:t>
            </w:r>
          </w:p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программы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09"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Всего, </w:t>
              <w:br/>
              <w:t>час,мин</w:t>
            </w:r>
          </w:p>
        </w:tc>
        <w:tc>
          <w:tcPr>
            <w:tcW w:w="2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>
                <w:rFonts w:eastAsia="Calibri" w:eastAsiaTheme="minorHAnsi"/>
                <w:szCs w:val="24"/>
              </w:rPr>
              <w:t>Раздел 1 Российская Федерация и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 (ГосПБП)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szCs w:val="24"/>
              </w:rPr>
              <w:t>Тема 1.2. Дальнейшее развитие нормативной базы СУБП в России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3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2 Особое место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2.2 Организация и организованность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3 Реализация СУБП оператора сертифицированного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 Компоненты и элементы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color w:val="00B0F0"/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Безопасность полетов и корпоративная культура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9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4 Ответственность за обеспечение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iCs/>
                <w:szCs w:val="24"/>
              </w:rPr>
              <w:t>Тема 4.1 Ответственность, которая не может быть делегирована другим лицам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/>
              <w:t>Тема 4.3 Содержание Руководства по управлению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 xml:space="preserve">Раздел 5 </w:t>
            </w:r>
            <w:r>
              <w:rPr>
                <w:bCs/>
                <w:szCs w:val="24"/>
              </w:rPr>
              <w:t>Область применения и интеграция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5.1 Координирование СУБП поставщика обслуживания с СУБП других организаций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6 Важные составляющие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6.2 Контроль дикой природы - национальные требования и стандарты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Оценка рисков и практические результаты на примере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24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7 Идентификация опасностей и оценка рисков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4,75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rFonts w:eastAsia="Calibri" w:eastAsiaTheme="minorHAnsi"/>
                <w:color w:val="000000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>Теория вопроса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rFonts w:eastAsia="Calibri" w:eastAsiaTheme="minorHAnsi"/>
                <w:color w:val="000000"/>
                <w:szCs w:val="24"/>
              </w:rPr>
              <w:t xml:space="preserve">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>ARMS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7.5 Особые средства и методы идентификации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2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iCs/>
                <w:szCs w:val="24"/>
              </w:rPr>
              <w:t>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szCs w:val="24"/>
              </w:rPr>
              <w:t>Тема 7.7 Приоритизация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8 Управление рисками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 xml:space="preserve">Раздел 9 </w:t>
            </w:r>
            <w:r>
              <w:rPr>
                <w:bCs/>
                <w:szCs w:val="24"/>
              </w:rPr>
              <w:t>Мониторинг и измерение эффективности обеспечения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9.1 Государственное управление рисками для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rFonts w:eastAsia="Calibri" w:eastAsiaTheme="minorHAnsi"/>
                <w:szCs w:val="24"/>
                <w:lang w:eastAsia="en-US"/>
              </w:rPr>
              <w:t xml:space="preserve">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szCs w:val="24"/>
              </w:rPr>
              <w:t>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eastAsia="Calibri" w:eastAsiaTheme="minorHAnsi"/>
                <w:bCs/>
                <w:iCs/>
                <w:szCs w:val="24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10 Обмен информацией и ведение документации по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szCs w:val="24"/>
              </w:rPr>
              <w:t>Тема 10.1 Источники внешних и внутренних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10.2 База данных по безопасности полетов: требования к структуре, содержание и необходимый уровень детализации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bCs/>
                <w:iCs/>
                <w:szCs w:val="24"/>
              </w:rPr>
              <w:t>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10.4 Система добровольных сообщений. Человеческие факторы и информация 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11 Постоянное совершенствование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20" w:right="51" w:hanging="0"/>
              <w:jc w:val="center"/>
              <w:rPr/>
            </w:pPr>
            <w:r>
              <w:rPr>
                <w:szCs w:val="24"/>
              </w:rPr>
              <w:t>0,75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/>
            </w:pPr>
            <w:r>
              <w:rPr>
                <w:szCs w:val="24"/>
              </w:rPr>
              <w:t>1,25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11.1 Аудит внутренней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11.2 Аудит организаций, осуществляющих свою деятельность на территории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rFonts w:eastAsia="ArialMT"/>
                <w:szCs w:val="24"/>
              </w:rPr>
            </w:pPr>
            <w:r>
              <w:rPr>
                <w:szCs w:val="24"/>
              </w:rPr>
              <w:t xml:space="preserve">Тема 11.3 </w:t>
            </w:r>
            <w:r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color w:val="000000" w:themeColor="text1"/>
                <w:szCs w:val="24"/>
              </w:rPr>
            </w:pPr>
            <w:r>
              <w:rPr>
                <w:rFonts w:eastAsia="ArialMT"/>
                <w:szCs w:val="24"/>
              </w:rPr>
              <w:t>Тема 11.4 Принципы проведения аудиторских проверок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12 Популяризация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13 Сессия вопросов и ответов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Итоговый контроль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bCs/>
                <w:szCs w:val="24"/>
              </w:rPr>
              <w:t>семинар</w:t>
            </w:r>
          </w:p>
        </w:tc>
      </w:tr>
      <w:tr>
        <w:trPr>
          <w:trHeight w:val="39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right"/>
              <w:rPr>
                <w:b/>
                <w:b/>
                <w:szCs w:val="24"/>
              </w:rPr>
            </w:pPr>
            <w:r>
              <w:rPr>
                <w:b/>
                <w:caps/>
                <w:szCs w:val="24"/>
              </w:rPr>
              <w:t>Всего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Heading1"/>
        <w:rPr>
          <w:rFonts w:ascii="Times New Roman" w:hAnsi="Times New Roman"/>
          <w:sz w:val="24"/>
        </w:rPr>
      </w:pPr>
      <w:bookmarkStart w:id="1" w:name="_Toc500843856"/>
      <w:bookmarkStart w:id="2" w:name="_Toc499207515"/>
      <w:r>
        <w:rPr>
          <w:rFonts w:ascii="Times New Roman" w:hAnsi="Times New Roman"/>
          <w:sz w:val="24"/>
        </w:rPr>
        <w:t>УЧЕБНО-КАЛЕНДАРНЫЙ ГРАФИК</w:t>
      </w:r>
      <w:bookmarkEnd w:id="1"/>
      <w:bookmarkEnd w:id="2"/>
    </w:p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-318" w:tblpY="1" w:topFromText="0" w:vertAnchor="text"/>
        <w:tblW w:w="105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9"/>
        <w:gridCol w:w="1984"/>
        <w:gridCol w:w="7655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Тема</w:t>
            </w:r>
          </w:p>
        </w:tc>
      </w:tr>
      <w:tr>
        <w:trPr>
          <w:trHeight w:val="68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9.00 - 10.30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(ГосПБП)</w:t>
            </w:r>
          </w:p>
        </w:tc>
      </w:tr>
      <w:tr>
        <w:trPr>
          <w:trHeight w:val="907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1.2. Дальнейшее развитие нормативной базы СУБП в России.  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2.2 Организация и организованность.  Тема 3.1 Компоненты и элементы СУБП.  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3.3. Безопасность полетов и корпоративная культура.</w:t>
            </w:r>
            <w:r>
              <w:rPr>
                <w:iCs/>
                <w:szCs w:val="24"/>
              </w:rPr>
              <w:t xml:space="preserve"> Тема 4.1 Ответственность, которая не может быть делегирована другим лицам. </w:t>
            </w:r>
            <w:r>
              <w:rPr>
                <w:szCs w:val="24"/>
              </w:rPr>
              <w:t xml:space="preserve"> 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/>
              <w:t xml:space="preserve">Тема 4.3 Содержание Руководства по управлению безопасностью полетов. </w:t>
            </w:r>
            <w:r>
              <w:rPr>
                <w:szCs w:val="24"/>
              </w:rPr>
              <w:t xml:space="preserve"> Тема 5.1 Координирование СУБП поставщика обслуживания с СУБП других организаций.  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деятельности. Тема 6.2 Контроль дикой природы - национальные требования и стандарты ИКАО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Оценка рисков и практические результаты на примере.  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 xml:space="preserve">Теория вопроса. 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 xml:space="preserve">ARMS. </w:t>
            </w: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  <w:r>
              <w:rPr>
                <w:bCs/>
                <w:szCs w:val="24"/>
              </w:rPr>
              <w:t>. 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>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практике. Тема 7.5 Особые средства и методы идентификации опасностей. </w:t>
            </w:r>
            <w:r>
              <w:rPr>
                <w:bCs/>
                <w:iCs/>
                <w:szCs w:val="24"/>
              </w:rPr>
              <w:t xml:space="preserve"> 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. Тема 7.7 Приоритизация опасностей. </w:t>
            </w: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опасности. 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8.1 Методологии оценки безопасности полетов применительно к аэродромам.  Тема 9.1 Государственное управление рисками для безопасности полетов.  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 xml:space="preserve">Приемлемый уровень эффективности обеспечения безопасности полетов, пороговые и целевые значения. 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обслуживания. </w:t>
            </w:r>
            <w:r>
              <w:rPr>
                <w:szCs w:val="24"/>
              </w:rPr>
              <w:t xml:space="preserve"> 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полетов. 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США. Тема 10.1 Источники внешних и внутренних данных. Тема 10.2 База данных по безопасности полетов: требования к структуре, содержание и необходимый уровень детализации.</w:t>
            </w:r>
            <w:r>
              <w:rPr>
                <w:bCs/>
                <w:iCs/>
                <w:szCs w:val="24"/>
              </w:rPr>
              <w:t xml:space="preserve"> 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данных. Тема 10.4 Система добровольных сообщений. Человеческие факторы и информация о безопасности полетов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11.1 Аудит внутренней деятельности.  Тема 11.2 Аудит организаций, осуществляющих свою деятельность на территории аэродрома.  Тема 11.3 </w:t>
            </w:r>
            <w:r>
              <w:rPr>
                <w:color w:val="000000" w:themeColor="text1"/>
                <w:szCs w:val="24"/>
              </w:rPr>
              <w:t xml:space="preserve">Планирование и подготовка к проведению аудита. </w:t>
            </w:r>
            <w:r>
              <w:rPr>
                <w:rFonts w:eastAsia="ArialMT"/>
                <w:szCs w:val="24"/>
              </w:rPr>
              <w:t xml:space="preserve"> Тема 11.4 Принципы проведения аудиторских проверок. </w:t>
            </w:r>
            <w:r>
              <w:rPr>
                <w:color w:val="000000" w:themeColor="text1"/>
                <w:szCs w:val="24"/>
              </w:rPr>
              <w:t xml:space="preserve"> 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отчетности.  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13 Сессия вопросов и ответов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</w:tbl>
    <w:p>
      <w:pPr>
        <w:pStyle w:val="Heading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276" w:right="851" w:header="567" w:top="1421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16" w:type="dxa"/>
      <w:jc w:val="left"/>
      <w:tblInd w:w="-601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2127"/>
      <w:gridCol w:w="6804"/>
      <w:gridCol w:w="1985"/>
    </w:tblGrid>
    <w:tr>
      <w:trPr>
        <w:trHeight w:val="654" w:hRule="atLeast"/>
        <w:cantSplit w:val="true"/>
      </w:trPr>
      <w:tc>
        <w:tcPr>
          <w:tcW w:w="212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48080" cy="318770"/>
                <wp:effectExtent l="0" t="0" r="0" b="0"/>
                <wp:docPr id="1" name="Рисунок 3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 </w:t>
          </w:r>
          <w:r>
            <w:rPr>
              <w:bCs/>
              <w:color w:val="A6A6A6" w:themeColor="background1" w:themeShade="a6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i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Программа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 xml:space="preserve">повышения квалификации </w:t>
          </w:r>
          <w:r>
            <w:rPr>
              <w:iCs/>
              <w:color w:val="A6A6A6" w:themeColor="background1" w:themeShade="a6"/>
              <w:szCs w:val="24"/>
            </w:rPr>
            <w:t>по теме:</w:t>
          </w:r>
        </w:p>
        <w:p>
          <w:pPr>
            <w:pStyle w:val="Normal"/>
            <w:ind w:right="51" w:hanging="0"/>
            <w:jc w:val="center"/>
            <w:rPr>
              <w:rStyle w:val="Emphasis"/>
              <w:i w:val="false"/>
              <w:i w:val="false"/>
              <w:iCs w:val="false"/>
              <w:color w:val="A6A6A6" w:themeColor="background1" w:themeShade="a6"/>
              <w:szCs w:val="24"/>
            </w:rPr>
          </w:pPr>
          <w:r>
            <w:rPr>
              <w:iCs/>
              <w:color w:val="A6A6A6" w:themeColor="background1" w:themeShade="a6"/>
              <w:szCs w:val="24"/>
            </w:rPr>
            <w:t xml:space="preserve">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>«Система управления безопасностью полетов аэропортов»</w:t>
          </w:r>
        </w:p>
        <w:p>
          <w:pPr>
            <w:pStyle w:val="Normal"/>
            <w:ind w:right="-392" w:hanging="0"/>
            <w:jc w:val="center"/>
            <w:rPr>
              <w:b/>
              <w:b/>
              <w:i/>
              <w:i/>
              <w:sz w:val="22"/>
              <w:szCs w:val="22"/>
            </w:rPr>
          </w:pPr>
          <w:r>
            <w:rPr>
              <w:b/>
              <w:i/>
              <w:sz w:val="22"/>
              <w:szCs w:val="22"/>
            </w:rPr>
          </w:r>
        </w:p>
      </w:tc>
      <w:tc>
        <w:tcPr>
          <w:tcW w:w="198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center"/>
            <w:rPr/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  <w:lang w:val="en-US"/>
            </w:rPr>
            <w:t xml:space="preserve"> </w:t>
          </w:r>
          <w:r>
            <w:rPr>
              <w:sz w:val="22"/>
              <w:szCs w:val="22"/>
            </w:rPr>
            <w:t xml:space="preserve">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  <w:drawing>
        <wp:inline distT="0" distB="0" distL="0" distR="0">
          <wp:extent cx="2179955" cy="595630"/>
          <wp:effectExtent l="0" t="0" r="0" b="0"/>
          <wp:docPr id="2" name="Рисунок 4" descr="logo-pulk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logo-pulko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95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  <w:t>ООО «Воздушные Ворота Северной Столицы»</w:t>
    </w:r>
  </w:p>
  <w:p>
    <w:pPr>
      <w:pStyle w:val="Header"/>
      <w:jc w:val="left"/>
      <w:rPr>
        <w:szCs w:val="24"/>
      </w:rPr>
    </w:pPr>
    <w:r>
      <w:rPr>
        <w:szCs w:val="24"/>
      </w:rPr>
      <w:t>Авиационный учебный центр</w:t>
    </w:r>
  </w:p>
  <w:p>
    <w:pPr>
      <w:pStyle w:val="Header"/>
      <w:jc w:val="center"/>
      <w:rPr>
        <w:szCs w:val="24"/>
      </w:rPr>
    </w:pPr>
    <w:r>
      <w:rPr>
        <w:szCs w:val="24"/>
      </w:rPr>
    </w:r>
  </w:p>
  <w:p>
    <w:pPr>
      <w:pStyle w:val="Header"/>
      <w:jc w:val="center"/>
      <w:rPr>
        <w:szCs w:val="24"/>
      </w:rPr>
    </w:pPr>
    <w:r>
      <w:rPr>
        <w:szCs w:val="24"/>
      </w:rPr>
    </w:r>
  </w:p>
  <w:tbl>
    <w:tblPr>
      <w:tblW w:w="10257" w:type="dxa"/>
      <w:jc w:val="left"/>
      <w:tblInd w:w="-34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4534"/>
      <w:gridCol w:w="1559"/>
      <w:gridCol w:w="4164"/>
    </w:tblGrid>
    <w:tr>
      <w:trPr/>
      <w:tc>
        <w:tcPr>
          <w:tcW w:w="4534" w:type="dxa"/>
          <w:tcBorders/>
          <w:shd w:color="auto" w:fill="auto" w:val="clear"/>
        </w:tcPr>
        <w:p>
          <w:pPr>
            <w:pStyle w:val="Normal"/>
            <w:spacing w:beforeAutospacing="1" w:after="0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559" w:type="dxa"/>
          <w:tcBorders/>
          <w:shd w:fill="auto" w:val="clear"/>
        </w:tcPr>
        <w:p>
          <w:pPr>
            <w:pStyle w:val="Normal"/>
            <w:jc w:val="cent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  <w:tc>
        <w:tcPr>
          <w:tcW w:w="4164" w:type="dxa"/>
          <w:tcBorders/>
          <w:shd w:color="auto" w:fill="auto" w:val="clear"/>
        </w:tcPr>
        <w:p>
          <w:pPr>
            <w:pStyle w:val="Head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7959"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a97959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20"/>
    <w:qFormat/>
    <w:rsid w:val="00a97959"/>
    <w:pPr>
      <w:keepNext w:val="true"/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30"/>
    <w:qFormat/>
    <w:rsid w:val="00a97959"/>
    <w:pPr>
      <w:keepNext w:val="true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40"/>
    <w:qFormat/>
    <w:rsid w:val="00d4201c"/>
    <w:pPr>
      <w:keepNext w:val="true"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97959"/>
    <w:rPr/>
  </w:style>
  <w:style w:type="character" w:styleId="1" w:customStyle="1">
    <w:name w:val="Заголовок 1 Знак"/>
    <w:link w:val="1"/>
    <w:qFormat/>
    <w:locked/>
    <w:rsid w:val="00d4201c"/>
    <w:rPr>
      <w:rFonts w:ascii="Arial" w:hAnsi="Arial"/>
      <w:b/>
      <w:kern w:val="2"/>
      <w:sz w:val="28"/>
      <w:lang w:val="ru-RU" w:eastAsia="ru-RU" w:bidi="ar-SA"/>
    </w:rPr>
  </w:style>
  <w:style w:type="character" w:styleId="2" w:customStyle="1">
    <w:name w:val="Заголовок 2 Знак"/>
    <w:link w:val="2"/>
    <w:semiHidden/>
    <w:qFormat/>
    <w:locked/>
    <w:rsid w:val="00d4201c"/>
    <w:rPr>
      <w:sz w:val="24"/>
      <w:u w:val="single"/>
      <w:lang w:val="ru-RU" w:eastAsia="ru-RU" w:bidi="ar-SA"/>
    </w:rPr>
  </w:style>
  <w:style w:type="character" w:styleId="3" w:customStyle="1">
    <w:name w:val="Заголовок 3 Знак"/>
    <w:link w:val="3"/>
    <w:semiHidden/>
    <w:qFormat/>
    <w:locked/>
    <w:rsid w:val="00d4201c"/>
    <w:rPr>
      <w:b/>
      <w:sz w:val="28"/>
      <w:lang w:val="ru-RU" w:eastAsia="ru-RU" w:bidi="ar-SA"/>
    </w:rPr>
  </w:style>
  <w:style w:type="character" w:styleId="4" w:customStyle="1">
    <w:name w:val="Заголовок 4 Знак"/>
    <w:link w:val="4"/>
    <w:semiHidden/>
    <w:qFormat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styleId="6" w:customStyle="1">
    <w:name w:val="Заголовок 6 Знак"/>
    <w:link w:val="6"/>
    <w:semiHidden/>
    <w:qFormat/>
    <w:locked/>
    <w:rsid w:val="00d4201c"/>
    <w:rPr>
      <w:b/>
      <w:bCs/>
      <w:sz w:val="22"/>
      <w:szCs w:val="22"/>
      <w:lang w:val="ru-RU" w:eastAsia="ru-RU" w:bidi="ar-SA"/>
    </w:rPr>
  </w:style>
  <w:style w:type="character" w:styleId="Style9" w:customStyle="1">
    <w:name w:val="Основной текст Знак"/>
    <w:link w:val="a3"/>
    <w:semiHidden/>
    <w:qFormat/>
    <w:locked/>
    <w:rsid w:val="00d4201c"/>
    <w:rPr>
      <w:b/>
      <w:sz w:val="28"/>
      <w:lang w:val="ru-RU" w:eastAsia="ru-RU" w:bidi="ar-SA"/>
    </w:rPr>
  </w:style>
  <w:style w:type="character" w:styleId="21" w:customStyle="1">
    <w:name w:val="Основной текст 2 Знак"/>
    <w:link w:val="21"/>
    <w:semiHidden/>
    <w:qFormat/>
    <w:locked/>
    <w:rsid w:val="00d4201c"/>
    <w:rPr>
      <w:w w:val="85"/>
      <w:sz w:val="28"/>
      <w:lang w:val="ru-RU" w:eastAsia="ru-RU" w:bidi="ar-SA"/>
    </w:rPr>
  </w:style>
  <w:style w:type="character" w:styleId="31" w:customStyle="1">
    <w:name w:val="Основной текст 3 Знак"/>
    <w:link w:val="31"/>
    <w:semiHidden/>
    <w:qFormat/>
    <w:locked/>
    <w:rsid w:val="00d4201c"/>
    <w:rPr>
      <w:sz w:val="16"/>
      <w:szCs w:val="16"/>
      <w:lang w:val="ru-RU" w:eastAsia="ru-RU" w:bidi="ar-SA"/>
    </w:rPr>
  </w:style>
  <w:style w:type="character" w:styleId="Style10" w:customStyle="1">
    <w:name w:val="Нижний колонтитул Знак"/>
    <w:link w:val="ab"/>
    <w:semiHidden/>
    <w:qFormat/>
    <w:locked/>
    <w:rsid w:val="00d4201c"/>
    <w:rPr>
      <w:sz w:val="24"/>
      <w:lang w:val="ru-RU" w:eastAsia="ru-RU" w:bidi="ar-SA"/>
    </w:rPr>
  </w:style>
  <w:style w:type="character" w:styleId="Style11" w:customStyle="1">
    <w:name w:val="Верхний колонтитул Знак"/>
    <w:link w:val="a9"/>
    <w:uiPriority w:val="99"/>
    <w:qFormat/>
    <w:locked/>
    <w:rsid w:val="00d4201c"/>
    <w:rPr>
      <w:sz w:val="24"/>
      <w:lang w:val="ru-RU" w:eastAsia="ru-RU" w:bidi="ar-SA"/>
    </w:rPr>
  </w:style>
  <w:style w:type="character" w:styleId="Style12" w:customStyle="1">
    <w:name w:val="Текст выноски Знак"/>
    <w:link w:val="a5"/>
    <w:qFormat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styleId="41" w:customStyle="1">
    <w:name w:val="Знак Знак4"/>
    <w:semiHidden/>
    <w:qFormat/>
    <w:locked/>
    <w:rsid w:val="00c6557d"/>
    <w:rPr>
      <w:b/>
      <w:sz w:val="28"/>
      <w:lang w:val="ru-RU" w:eastAsia="ru-RU" w:bidi="ar-SA"/>
    </w:rPr>
  </w:style>
  <w:style w:type="character" w:styleId="22" w:customStyle="1">
    <w:name w:val="Знак Знак2"/>
    <w:semiHidden/>
    <w:qFormat/>
    <w:locked/>
    <w:rsid w:val="00ba3ecc"/>
    <w:rPr>
      <w:sz w:val="16"/>
      <w:szCs w:val="16"/>
      <w:lang w:val="ru-RU" w:eastAsia="ru-RU" w:bidi="ar-SA"/>
    </w:rPr>
  </w:style>
  <w:style w:type="character" w:styleId="InternetLink">
    <w:name w:val="Internet Link"/>
    <w:uiPriority w:val="99"/>
    <w:unhideWhenUsed/>
    <w:rsid w:val="00330fc3"/>
    <w:rPr>
      <w:color w:val="0000FF"/>
      <w:u w:val="single"/>
    </w:rPr>
  </w:style>
  <w:style w:type="character" w:styleId="Style13" w:customStyle="1">
    <w:name w:val="Подзаголовок Знак"/>
    <w:link w:val="af2"/>
    <w:qFormat/>
    <w:rsid w:val="00330fc3"/>
    <w:rPr>
      <w:rFonts w:ascii="Cambria" w:hAnsi="Cambria" w:eastAsia="Times New Roman" w:cs="Times New Roman"/>
      <w:sz w:val="24"/>
      <w:szCs w:val="24"/>
    </w:rPr>
  </w:style>
  <w:style w:type="character" w:styleId="Emphasis">
    <w:name w:val="Emphasis"/>
    <w:qFormat/>
    <w:rsid w:val="00390fe2"/>
    <w:rPr>
      <w:i/>
      <w:iCs/>
    </w:rPr>
  </w:style>
  <w:style w:type="character" w:styleId="23" w:customStyle="1">
    <w:name w:val="Основной текст с отступом 2 Знак"/>
    <w:basedOn w:val="DefaultParagraphFont"/>
    <w:link w:val="25"/>
    <w:qFormat/>
    <w:rsid w:val="00085e8a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rsid w:val="00a97959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6"/>
    <w:semiHidden/>
    <w:qFormat/>
    <w:rsid w:val="00a97959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97959"/>
    <w:pPr>
      <w:jc w:val="center"/>
    </w:pPr>
    <w:rPr>
      <w:b/>
      <w:sz w:val="32"/>
    </w:rPr>
  </w:style>
  <w:style w:type="paragraph" w:styleId="BodyText2">
    <w:name w:val="Body Text 2"/>
    <w:basedOn w:val="Normal"/>
    <w:link w:val="22"/>
    <w:qFormat/>
    <w:rsid w:val="00a97959"/>
    <w:pPr>
      <w:jc w:val="center"/>
    </w:pPr>
    <w:rPr>
      <w:w w:val="85"/>
      <w:sz w:val="28"/>
    </w:rPr>
  </w:style>
  <w:style w:type="paragraph" w:styleId="Style14" w:customStyle="1">
    <w:name w:val="школа"/>
    <w:basedOn w:val="Normal"/>
    <w:qFormat/>
    <w:rsid w:val="00a97959"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5" w:customStyle="1">
    <w:name w:val="текос"/>
    <w:basedOn w:val="Normal"/>
    <w:qFormat/>
    <w:rsid w:val="00a97959"/>
    <w:pPr>
      <w:spacing w:lineRule="auto" w:line="360"/>
    </w:pPr>
    <w:rPr/>
  </w:style>
  <w:style w:type="paragraph" w:styleId="TextBodyIndent">
    <w:name w:val="Body Text Indent"/>
    <w:basedOn w:val="Normal"/>
    <w:rsid w:val="003d1631"/>
    <w:pPr>
      <w:spacing w:before="0" w:after="120"/>
      <w:ind w:left="283" w:hanging="0"/>
    </w:pPr>
    <w:rPr/>
  </w:style>
  <w:style w:type="paragraph" w:styleId="BodyText3">
    <w:name w:val="Body Text 3"/>
    <w:basedOn w:val="Normal"/>
    <w:link w:val="32"/>
    <w:qFormat/>
    <w:rsid w:val="00d4201c"/>
    <w:pPr>
      <w:spacing w:before="0" w:after="120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fc3"/>
    <w:pPr>
      <w:keepLines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rsid w:val="00330fc3"/>
    <w:pPr/>
    <w:rPr/>
  </w:style>
  <w:style w:type="paragraph" w:styleId="Subtitle">
    <w:name w:val="Subtitle"/>
    <w:basedOn w:val="Normal"/>
    <w:next w:val="Normal"/>
    <w:link w:val="af3"/>
    <w:qFormat/>
    <w:rsid w:val="00330fc3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Contents2">
    <w:name w:val="TOC 2"/>
    <w:basedOn w:val="Normal"/>
    <w:next w:val="Normal"/>
    <w:autoRedefine/>
    <w:uiPriority w:val="39"/>
    <w:rsid w:val="004c75a9"/>
    <w:pPr>
      <w:tabs>
        <w:tab w:val="clear" w:pos="720"/>
        <w:tab w:val="right" w:pos="9344" w:leader="dot"/>
      </w:tabs>
    </w:pPr>
    <w:rPr/>
  </w:style>
  <w:style w:type="paragraph" w:styleId="ListParagraph">
    <w:name w:val="List Paragraph"/>
    <w:basedOn w:val="Normal"/>
    <w:uiPriority w:val="34"/>
    <w:qFormat/>
    <w:rsid w:val="006c13e0"/>
    <w:pPr>
      <w:ind w:left="720" w:hanging="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AuroraTextBody" w:customStyle="1">
    <w:name w:val="Aurora Text Body"/>
    <w:basedOn w:val="Normal"/>
    <w:semiHidden/>
    <w:qFormat/>
    <w:rsid w:val="00e459bc"/>
    <w:pPr>
      <w:spacing w:before="60" w:after="120"/>
    </w:pPr>
    <w:rPr>
      <w:rFonts w:ascii="Arial" w:hAnsi="Arial" w:cs="Arial"/>
      <w:bCs/>
      <w:color w:val="000000"/>
      <w:szCs w:val="24"/>
      <w:lang w:val="en-GB" w:eastAsia="en-US"/>
    </w:rPr>
  </w:style>
  <w:style w:type="paragraph" w:styleId="Default" w:customStyle="1">
    <w:name w:val="Default"/>
    <w:qFormat/>
    <w:rsid w:val="00e459bc"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db6440"/>
    <w:pPr>
      <w:spacing w:beforeAutospacing="1" w:afterAutospacing="1"/>
      <w:jc w:val="left"/>
    </w:pPr>
    <w:rPr>
      <w:szCs w:val="24"/>
    </w:rPr>
  </w:style>
  <w:style w:type="paragraph" w:styleId="HEADERTEXT" w:customStyle="1">
    <w:name w:val=".HEADERTEXT"/>
    <w:uiPriority w:val="99"/>
    <w:qFormat/>
    <w:rsid w:val="00db6440"/>
    <w:pPr>
      <w:widowControl w:val="fals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2B4279"/>
      <w:kern w:val="0"/>
      <w:sz w:val="24"/>
      <w:szCs w:val="24"/>
      <w:lang w:val="ru-RU" w:eastAsia="ru-RU" w:bidi="ar-SA"/>
    </w:rPr>
  </w:style>
  <w:style w:type="paragraph" w:styleId="FORMATTEXT" w:customStyle="1">
    <w:name w:val=".FORMATTEXT"/>
    <w:uiPriority w:val="99"/>
    <w:qFormat/>
    <w:rsid w:val="00db6440"/>
    <w:pPr>
      <w:widowControl w:val="fals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6"/>
    <w:qFormat/>
    <w:rsid w:val="00085e8a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e459bc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E7B4-EE1C-4E67-A5F1-E6242F4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LibreOffice/6.3.5.2$Linux_X86_64 LibreOffice_project/30$Build-2</Application>
  <Pages>7</Pages>
  <Words>1287</Words>
  <Characters>8327</Characters>
  <CharactersWithSpaces>9344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2018-01-09T12:52:00Z</dcterms:created>
  <dc:creator>Константинова</dc:creator>
  <dc:description/>
  <dc:language>en-US</dc:language>
  <cp:lastModifiedBy/>
  <cp:lastPrinted>2018-03-07T09:08:00Z</cp:lastPrinted>
  <dcterms:modified xsi:type="dcterms:W3CDTF">2020-08-16T02:36:43Z</dcterms:modified>
  <cp:revision>11</cp:revision>
  <dc:subject/>
  <dc:title>НЕГОСУДАРСТВЕННОЕ ОБРАЗОВАТЕЛЬНОЕ УЧРЕЖДЕНИЕ ВЫСШАЯ КОММЕРЧЕСКАЯ ШКОЛА «АВИАБИЗНЕС»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