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«УПРАВЛЕНИЕ СПЕЦМАШИНАМИ ПО ПРОТИВООБЛЕДЕНИТЕЛЬНОЙ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ЗАЩИТЕ ВС» 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10)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Style27"/>
        <w:jc w:val="left"/>
        <w:rPr/>
      </w:pPr>
      <w:r>
        <w:rPr/>
        <w:t>УЧЕБНО-ТЕМАТИЧЕСКИЙ ПЛАН</w:t>
      </w:r>
    </w:p>
    <w:tbl>
      <w:tblPr>
        <w:tblW w:w="96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1"/>
        <w:gridCol w:w="851"/>
        <w:gridCol w:w="992"/>
        <w:gridCol w:w="709"/>
        <w:gridCol w:w="709"/>
        <w:gridCol w:w="2419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тем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ПЗ</w:t>
            </w:r>
          </w:p>
        </w:tc>
        <w:tc>
          <w:tcPr>
            <w:tcW w:w="24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Действующие стандарты, руководящие документы и рекомендации в сфере ПОЗ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1.1 Международные документы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1.2 Документы РФ и внутренние нормативные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Противообледенительные процедуры, общие и специфические требования при ПОЗ типов ВС, использование горячего воздуха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2.1 Понятие удаления обледенения и защиты ВС от обледенения, методы ПОЗ ВС,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2.2 Использование ПОЖ при одно и двухступенчатой обработке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2.3 Перечень типов ВС, к приему которых допущен аэродром. Особенности обработки ВС разных типов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3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Конструкция ВС и критические поверхности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 Основные элементы конструкции ВС, различные конструктивные решения типов ВС (расположение двигателей, хвостового оперения).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3.2 Определение критических поверхностей ВС (передняя кромка крыла, элероны, закрылки и т.д.)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3.3 Другие критические элементы ВС (Двигатели, ВСУ, датчики, антенны, порты). Области ВС ограниченного применения ПОЖ.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4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Оборудование и инфраструктура для ПОЗ ВС в условиях текущей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11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4.1 Спецмашины ПОЗ ВС. Конструкция и эксплуатация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4.2 Расположение мест заправки спецмашин горячей водой и ПОЖ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4.3 Назначение, устройство и правила работы на складе ПОЖ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5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5.1 Человеческий фактор. Описание модели </w:t>
            </w:r>
            <w:r>
              <w:rPr>
                <w:lang w:val="en-US"/>
              </w:rPr>
              <w:t>SHELL</w:t>
            </w:r>
            <w:r>
              <w:rPr/>
              <w:t xml:space="preserve"> и «грязной дюжины»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5.2 Требования охраны труда при выполнении процедур ПОЗ ВС. Карта идентификации опасностей.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 Безопасность полетов. Предотвращение повреждения ВС, система добровольных сообщений, выявление опасностей и управление рисками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Аварийные процедуры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6.1 Действия при отказе систем спецмашин. Информирование линейного руководителя и диспетчера.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6.2 Конструктивные элементы спецмашин, предусмотренные на случай аварийной ситуации. Порядок работы с аварийными системами спецмашин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7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Код ПОЗ ВС и процедуры коммуникации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7.1 Состав кода ПОЗ ВС. назначение, процедура передачи экипажу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45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7.2 Процедуры коммуникации до обработки ВС, во время обработки, и после обработки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8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Местные правила и ограничения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8.1 Места стоянок предназначенные для ПОЗ ВС.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8.2 Ограничения по применению ПОЖ на других МС и перронах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3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9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</w:t>
            </w:r>
            <w:r>
              <w:rPr>
                <w:b/>
                <w:szCs w:val="24"/>
              </w:rPr>
              <w:t>з</w:t>
            </w:r>
            <w:r>
              <w:rPr>
                <w:b/>
                <w:szCs w:val="24"/>
              </w:rPr>
              <w:t>дел 9.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  <w:szCs w:val="24"/>
              </w:rPr>
              <w:t>Операционные процедуры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9.1 ПОЗ ВС с запущенными двигателями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9.2 ПОЗ ВС на МС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9.3 Общие процедуры наземного обслуживания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10.</w:t>
            </w:r>
          </w:p>
          <w:p>
            <w:pPr>
              <w:pStyle w:val="Normal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4"/>
              </w:rPr>
              <w:t>Общие процедуры и требования авиакомпаний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19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10.1 Стандартные процедуры ПОЗ ВС в аэропорту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10.2  Специфические требования авиакомпаний при ПОЗ ВС. Влияние этих требований на операционную деятельность.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Промежуточный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Тестирование</w:t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Раздел 11</w:t>
            </w:r>
            <w:r>
              <w:rPr>
                <w:szCs w:val="28"/>
              </w:rPr>
              <w:t>.</w:t>
            </w:r>
          </w:p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Практическая подготовка на учебном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Зачет</w:t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11.1 Изучение конструкции спецмашины и аварийных систем.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3,5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7"/>
        <w:jc w:val="left"/>
        <w:rPr/>
      </w:pPr>
      <w:r>
        <w:rPr/>
        <w:t>КАЛЕНДАРНЫЙ УЧЕБНЫЙ ГРАФИК</w:t>
      </w:r>
    </w:p>
    <w:tbl>
      <w:tblPr>
        <w:tblW w:w="9581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59"/>
        <w:gridCol w:w="7669"/>
      </w:tblGrid>
      <w:tr>
        <w:trPr>
          <w:trHeight w:val="454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ДОТиЭО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1.1 Международные документы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1.2 Документы РФ и внутренние нормативные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2.1 Понятие удаления обледенения и защиты ВС от обледенения, методы ПОЗ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2.2 Использование ПОЖ при одно и двухступенчатой обработке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2.3 Перечень типов ВС, к приему которых допущен аэродром. Особенности обработки ВС разных типов</w:t>
            </w:r>
          </w:p>
        </w:tc>
      </w:tr>
      <w:tr>
        <w:trPr>
          <w:trHeight w:val="736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 Основные элементы конструкции ВС, различные конструктивные решения типов ВС (расположение двигателей, хвостового оперения)</w:t>
            </w:r>
          </w:p>
          <w:p>
            <w:pPr>
              <w:pStyle w:val="Normal"/>
              <w:jc w:val="left"/>
              <w:rPr/>
            </w:pPr>
            <w:r>
              <w:rPr/>
              <w:t>Тема 3.2 Определение критических поверхностей ВС (передняя кромка крыла, элероны, закрылки и т.д.)</w:t>
            </w:r>
          </w:p>
          <w:p>
            <w:pPr>
              <w:pStyle w:val="Normal"/>
              <w:jc w:val="left"/>
              <w:rPr/>
            </w:pPr>
            <w:r>
              <w:rPr/>
              <w:t>Тема 3.3 Другие критические элементы ВС (Двигатели, ВСУ, датчики, антенны, порты). Области ВС ограниченного применения ПОЖ</w:t>
            </w:r>
          </w:p>
          <w:p>
            <w:pPr>
              <w:pStyle w:val="Normal"/>
              <w:jc w:val="left"/>
              <w:rPr/>
            </w:pPr>
            <w:r>
              <w:rPr/>
              <w:t>Тема 4.1 Спецмашины ПОЗ ВС. Конструкция и эксплуатация</w:t>
            </w:r>
          </w:p>
          <w:p>
            <w:pPr>
              <w:pStyle w:val="Normal"/>
              <w:jc w:val="left"/>
              <w:rPr/>
            </w:pPr>
            <w:r>
              <w:rPr/>
              <w:t>Тема 4.2 Расположение мест заправки спецмашин горячей водой и ПОЖ</w:t>
            </w:r>
          </w:p>
          <w:p>
            <w:pPr>
              <w:pStyle w:val="Normal"/>
              <w:jc w:val="left"/>
              <w:rPr/>
            </w:pPr>
            <w:r>
              <w:rPr/>
              <w:t>Тема 4.3 Назначение, устройство и правила работы на складе ПОЖ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5.1 Человеческий фактор. Описание модели </w:t>
            </w:r>
            <w:r>
              <w:rPr>
                <w:lang w:val="en-US"/>
              </w:rPr>
              <w:t>SHELL</w:t>
            </w:r>
            <w:r>
              <w:rPr/>
              <w:t xml:space="preserve"> и «грязной дюжины»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5.2 Требования охраны труда при выполнении процедур ПОЗ ВС. Карта идентификации опасностей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5.3 Безопасность полетов. Предотвращение повреждения ВС, система добровольных сообщений, выявление опасностей и управление рисками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6.1 Действия при отказе систем спецмашин. Информирование линейного руководителя и диспетчера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6.2 Конструктивные элементы спецмашин, предусмотренные на случай аварийной ситуации. Порядок работы с аварийными системами спецмашин</w:t>
            </w:r>
          </w:p>
        </w:tc>
      </w:tr>
      <w:tr>
        <w:trPr>
          <w:trHeight w:val="62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7.1 Состав кода ПОЗ ВС. назначение, процедура передачи экипажу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7.2 Процедуры коммуникации до обработки ВС, во время обработки, и после обработки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8.1 Места стоянок предназначенные для ПОЗ ВС.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8.2 Ограничения по применению ПОЖ на других МС и перронах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9.1 ПОЗ ВС с запущенными двигателями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9.2 ПОЗ ВС на МС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9.3 Общие процедуры наземного обслуживания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10.1 Стандартные процедуры ПОЗ ВС в аэропорту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/>
              <w:t>Тема 10.2  Специфические требования авиакомпаний при ПОЗ ВС. Влияние этих требований на операционную деятельность.</w:t>
            </w:r>
          </w:p>
        </w:tc>
      </w:tr>
      <w:tr>
        <w:trPr>
          <w:trHeight w:val="552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left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  <w:p>
            <w:pPr>
              <w:pStyle w:val="Normal"/>
              <w:spacing w:before="0" w:after="2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11.1 Изучение конструкции спецмашины и аварийных систем.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</w:tr>
      <w:tr>
        <w:trPr>
          <w:trHeight w:val="55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11.2 Маневрирование возле учебного ВС</w:t>
            </w:r>
          </w:p>
        </w:tc>
      </w:tr>
      <w:tr>
        <w:trPr>
          <w:trHeight w:val="56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0" w:leader="none"/>
        </w:tabs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27"/>
      <w:gridCol w:w="5811"/>
      <w:gridCol w:w="1701"/>
    </w:tblGrid>
    <w:tr>
      <w:trPr>
        <w:trHeight w:val="654" w:hRule="atLeast"/>
        <w:cantSplit w:val="true"/>
      </w:trPr>
      <w:tc>
        <w:tcPr>
          <w:tcW w:w="212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 </w:t>
          </w: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Программа повышения квалификации </w:t>
          </w:r>
        </w:p>
        <w:p>
          <w:pPr>
            <w:pStyle w:val="Normal"/>
            <w:ind w:right="51" w:hanging="0"/>
            <w:jc w:val="center"/>
            <w:rPr/>
          </w:pPr>
          <w:r>
            <w:rPr>
              <w:bCs/>
              <w:sz w:val="22"/>
              <w:szCs w:val="22"/>
            </w:rPr>
            <w:t>Противообледенительная защита воздушных судов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Управление  спецмашинами по противообледенительной защите ВС (категория по SAE AS6286A DI-L10)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4"/>
            </w:rPr>
          </w:pPr>
          <w:r>
            <w:rPr>
              <w:b/>
              <w:bCs/>
              <w:sz w:val="22"/>
              <w:szCs w:val="24"/>
            </w:rPr>
          </w:r>
        </w:p>
      </w:tc>
      <w:tc>
        <w:tcPr>
          <w:tcW w:w="17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lang w:val="ru-RU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color w:val="0000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  <w:b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i w:val="false"/>
      <w:color w:val="00000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lang w:val="ru-RU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val="ru-RU"/>
    </w:rPr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lang w:val="ru-RU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i w:val="false"/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i w:val="false"/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i w:val="false"/>
      <w:color w:val="00000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11">
    <w:name w:val="Стиль1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211">
    <w:name w:val="Основной текст 21 Знак"/>
    <w:qFormat/>
    <w:rPr>
      <w:rFonts w:eastAsia="Calibri"/>
      <w:sz w:val="28"/>
      <w:szCs w:val="28"/>
    </w:rPr>
  </w:style>
  <w:style w:type="character" w:styleId="Style18">
    <w:name w:val="ЗАГ Знак"/>
    <w:qFormat/>
    <w:rPr>
      <w:rFonts w:eastAsia="Calibri"/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2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Style27">
    <w:name w:val="ЗАГ"/>
    <w:basedOn w:val="212"/>
    <w:qFormat/>
    <w:pPr>
      <w:spacing w:before="240" w:after="120"/>
      <w:jc w:val="center"/>
    </w:pPr>
    <w:rPr>
      <w:rFonts w:eastAsia="Times New Roman"/>
      <w:b/>
      <w:kern w:val="2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Application>LibreOffice/6.3.5.2$Linux_X86_64 LibreOffice_project/30$Build-2</Application>
  <Pages>7</Pages>
  <Words>966</Words>
  <Characters>5354</Characters>
  <CharactersWithSpaces>6035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2018-06-07T19:49:00Z</dcterms:created>
  <dc:creator>Константинова</dc:creator>
  <dc:description/>
  <dc:language>en-US</dc:language>
  <cp:lastModifiedBy/>
  <cp:lastPrinted>2019-12-11T11:49:00Z</cp:lastPrinted>
  <dcterms:modified xsi:type="dcterms:W3CDTF">2020-08-15T15:41:14Z</dcterms:modified>
  <cp:revision>24</cp:revision>
  <dc:subject/>
  <dc:title>НЕГОСУДАРСТВЕННОЕ ОБРАЗОВАТЕЛЬНОЕ УЧРЕЖДЕНИЕ ВЫСШАЯ КОММЕРЧЕСКАЯ ШКОЛА «АВИАБИЗНЕС»</dc:title>
</cp:coreProperties>
</file>