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CP sanBlas – Módulo 01 – 14/12/2023</w:t>
      </w:r>
    </w:p>
    <w:p>
      <w:pPr>
        <w:pStyle w:val="Normal"/>
        <w:bidi w:val="0"/>
        <w:jc w:val="start"/>
        <w:rPr/>
      </w:pPr>
      <w:r>
        <w:rPr/>
      </w:r>
    </w:p>
    <w:p>
      <w:pPr>
        <w:pStyle w:val="Normal"/>
        <w:bidi w:val="0"/>
        <w:jc w:val="start"/>
        <w:rPr>
          <w:bdr w:val="single" w:sz="2" w:space="1" w:color="D9D9E3"/>
        </w:rPr>
      </w:pPr>
      <w:r>
        <w:rPr>
          <w:bdr w:val="single" w:sz="2" w:space="1" w:color="D9D9E3"/>
        </w:rPr>
        <w:t>¿Qué es DELL? Qué política empresarial tiene respecto del stockaje?</w:t>
      </w:r>
    </w:p>
    <w:p>
      <w:pPr>
        <w:pStyle w:val="Normal"/>
        <w:bidi w:val="0"/>
        <w:spacing w:before="0" w:after="283"/>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Dell Technologies es una empresa multinacional de tecnología que se especializa en la fabricación, venta y soporte de productos y servicios de tecnología de la información. Fue fundada en 1984 por Michael Dell y ha crecido para convertirse en una de las mayores empresas de tecnología del mundo.</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Respecto a la política empresarial de Dell en relación con el stockaje, es importante destacar que las políticas específicas pueden cambiar con el tiempo y estar sujetas a ajustes según las condiciones del mercado y la estrategia empresarial. Sin embargo, algunas características generales de la política de stockaje de Dell pueden incluir:</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Modelo de negocio directo:</w:t>
      </w:r>
      <w:r>
        <w:rPr/>
        <w:t xml:space="preserve"> Dell ha sido conocida por su modelo de negocio directo, que implica la venta directa al cliente, eliminando intermediarios. Este enfoque puede ayudar a reducir los costos y optimizar el stockaje.</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Gestión eficiente de la cadena de suministro:</w:t>
      </w:r>
      <w:r>
        <w:rPr/>
        <w:t xml:space="preserve"> Dell ha invertido en sistemas avanzados de gestión de la cadena de suministro para minimizar el exceso de inventario y garantizar una entrega rápida y eficiente de productos.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Fabricación a medida:</w:t>
      </w:r>
      <w:r>
        <w:rPr/>
        <w:t xml:space="preserve"> Tradicionalmente, Dell ha adoptado un enfoque de fabricación a medida, lo que significa que produce productos según la demanda del cliente. Esto puede ayudar a evitar el exceso de inventario no vendido.</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Enfoque en la sostenibilidad:</w:t>
      </w:r>
      <w:r>
        <w:rPr/>
        <w:t xml:space="preserve"> En línea con las tendencias actuales, muchas empresas, incluida Dell, están adoptando políticas empresariales más sostenibles. Esto puede incluir prácticas de stockaje que minimizan el desperdicio y reducen el impacto ambiental.</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Adaptación a las tendencias del mercado:</w:t>
      </w:r>
      <w:r>
        <w:rPr/>
        <w:t xml:space="preserve"> Dell puede ajustar sus políticas de stockaje en función de las tendencias del mercado y las demandas cambiantes de los clientes. Por ejemplo, en un mercado de tecnología que evoluciona rápidamente, la empresa puede ajustar su stock para satisfacer la demanda de productos más nuevos y avanzados.</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Para obtener información actualizada y específica sobre la política de stockaje de Dell, te recomendaría visitar el sitio web oficial de la empresa o ponerse en contacto directo con ellos para obtener detalles precisos.</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1" name="Imagen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Use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 xml:space="preserve">dell FABRICA TODOS LOS COMPONENETES DE SUS EQUIPOS? dell DISEÑA SUS EQUIPOS? </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Dell no fabrica todos los componentes de sus equipos por sí misma. En cambio, sigue un modelo de fabricación y diseño que implica la colaboración con diversos proveedores y socios en la cadena de suministro. Aunque Dell realiza el diseño de sus equipos, también subcontrata la fabricación de componentes y ensambla los productos finales. Este enfoque permite a Dell aprovechar la experiencia y la especialización de diversos proveedores para obtener componentes de alta calidad a precios competitivos.</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En términos de diseño, Dell tiene equipos de ingenieros y diseñadores internos que se encargan de desarrollar y diseñar sus productos. Este proceso implica la creación de prototipos, pruebas y ajustes antes de que los productos lleguen a la etapa de producción. Dell se enorgullece de su capacidad para ofrecer productos personalizados y adaptados a las necesidades del cliente, y este enfoque de diseño interno es fundamental para lograrlo.</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En resumen, mientras que Dell no fabrica todos los componentes por sí misma, juega un papel crucial en el diseño, la integración y la personalización de sus productos para satisfacer las demandas del mercado y las necesidades específicas de los clientes.</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2" name="Imagen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User"/>
                    <pic:cNvPicPr>
                      <a:picLocks noChangeAspect="1" noChangeArrowheads="1"/>
                    </pic:cNvPicPr>
                  </pic:nvPicPr>
                  <pic:blipFill>
                    <a:blip r:embed="rId3"/>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Puedes darme un listado de los pasos (genéricos) para desensamblar un equipo inormático?</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Desensamblar un equipo informático puede variar según el tipo específico de equipo (por ejemplo, una computadora de escritorio, una laptop o una tablet) y la marca/modelo. Sin embargo, a continuación te proporciono un listado general de pasos que podrías seguir al desensamblar una computadora de escritorio. Ten en cuenta que desensamblar un dispositivo puede anular la garantía y debe hacerse con precaución. Asegúrate de tener las herramientas adecuadas y, si no estás seguro, considera buscar la ayuda de un profesional.</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Apaga y desconecta el equipo:</w:t>
      </w:r>
      <w:r>
        <w:rPr/>
        <w:t xml:space="preserve"> Antes de comenzar, apaga la computadora y desconéctala de la fuente de alimentación. Además, desconecta cualquier otro cable conectado.</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Descarga la electricidad estática:</w:t>
      </w:r>
      <w:r>
        <w:rPr/>
        <w:t xml:space="preserve"> Tócate con una superficie metálica para descargar cualquier electricidad estática que puedas tener acumulada. También puedes usar una pulsera antiestática para evitar dañar los componentes sensibles.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Retira la carcasa:</w:t>
      </w:r>
      <w:r>
        <w:rPr/>
        <w:t xml:space="preserve"> Abre la carcasa del equipo. En una computadora de escritorio, esto generalmente implica quitar tornillos en la parte posterior o lateral del estuche.</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Identifica los componentes principales:</w:t>
      </w:r>
      <w:r>
        <w:rPr/>
        <w:t xml:space="preserve"> Familiarízate con la ubicación de la placa madre, la fuente de alimentación, las unidades de almacenamiento, la tarjeta gráfica, la memoria RAM, etc.</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Desconecta y retira las tarjetas de expansión:</w:t>
      </w:r>
      <w:r>
        <w:rPr/>
        <w:t xml:space="preserve"> Desconecta cualquier tarjeta de expansión (como tarjetas gráficas o tarjetas de sonido) y retíralas de sus ranuras correspondientes.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Desconecta los cables:</w:t>
      </w:r>
      <w:r>
        <w:rPr/>
        <w:t xml:space="preserve"> Desconecta cuidadosamente todos los cables conectados a la placa madre, la unidad de alimentación y otros componentes.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Retira la unidad de almacenamiento:</w:t>
      </w:r>
      <w:r>
        <w:rPr/>
        <w:t xml:space="preserve"> Si es necesario, retira las unidades de almacenamiento (discos duros, SSD) siguiendo las instrucciones del fabricante.</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Quita la memoria RAM:</w:t>
      </w:r>
      <w:r>
        <w:rPr/>
        <w:t xml:space="preserve"> Desbloquea las pestañas de retención y retira los módulos de memoria RAM.</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Desconecta la fuente de alimentación:</w:t>
      </w:r>
      <w:r>
        <w:rPr/>
        <w:t xml:space="preserve"> Desconecta la fuente de alimentación de la placa madre y de otros componentes.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Retira la placa madre:</w:t>
      </w:r>
      <w:r>
        <w:rPr/>
        <w:t xml:space="preserve"> Desenrosca la placa madre del estuche. Asegúrate de desconectar todos los cables y componentes antes de hacerlo.</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Retira otros componentes:</w:t>
      </w:r>
      <w:r>
        <w:rPr/>
        <w:t xml:space="preserve"> Si es necesario, retira otros componentes como el procesador, la tarjeta gráfica integrada en la placa madre, etc.</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 importante seguir las instrucciones del fabricante y tener cuidado al manipular los componentes para evitar daños. Si no te sientes cómodo realizando este proceso, es recomendable buscar la asistencia de un profesional. Además, ten en cuenta que desensamblar ciertos dispositivos puede invalidar la garantía.</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3" name="Imagen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User"/>
                    <pic:cNvPicPr>
                      <a:picLocks noChangeAspect="1" noChangeArrowheads="1"/>
                    </pic:cNvPicPr>
                  </pic:nvPicPr>
                  <pic:blipFill>
                    <a:blip r:embed="rId4"/>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Creame un listado en formato tabla para realizar un checkin (genérico) de esos pasos</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Claro, aquí tienes un listado en formato de tabla para realizar un check-in genérico de los pasos para desensamblar una computadora de escritorio:</w:t>
      </w:r>
    </w:p>
    <w:tbl>
      <w:tblPr>
        <w:tblW w:w="5216" w:type="dxa"/>
        <w:jc w:val="start"/>
        <w:tblInd w:w="0" w:type="dxa"/>
        <w:tblLayout w:type="fixed"/>
        <w:tblCellMar>
          <w:top w:w="28" w:type="dxa"/>
          <w:start w:w="0" w:type="dxa"/>
          <w:bottom w:w="28" w:type="dxa"/>
          <w:end w:w="0" w:type="dxa"/>
        </w:tblCellMar>
      </w:tblPr>
      <w:tblGrid>
        <w:gridCol w:w="601"/>
        <w:gridCol w:w="4615"/>
      </w:tblGrid>
      <w:tr>
        <w:trPr>
          <w:tblHeader w:val="true"/>
        </w:trPr>
        <w:tc>
          <w:tcPr>
            <w:tcW w:w="601" w:type="dxa"/>
            <w:tcBorders>
              <w:top w:val="single" w:sz="6" w:space="0" w:color="D9D9E3"/>
              <w:bottom w:val="single" w:sz="6" w:space="0" w:color="D9D9E3"/>
            </w:tcBorders>
            <w:vAlign w:val="center"/>
          </w:tcPr>
          <w:p>
            <w:pPr>
              <w:pStyle w:val="Ttulodelatabla"/>
              <w:bidi w:val="0"/>
              <w:ind w:hanging="0" w:start="0" w:end="0"/>
              <w:rPr/>
            </w:pPr>
            <w:r>
              <w:rPr/>
              <w:t>Paso</w:t>
            </w:r>
          </w:p>
        </w:tc>
        <w:tc>
          <w:tcPr>
            <w:tcW w:w="4615"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Descripción</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1</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Apaga y desconecta la computadora.</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2</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Descarga la electricidad estática.</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3</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Retira la carcasa de la computadora.</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4</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Identifica los componentes principales.</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5</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Desconecta y retira las tarjetas de expansión.</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6</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Desconecta todos los cables.</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7</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Retira las unidades de almacenamiento.</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8</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Quita la memoria RAM.</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9</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Desconecta la fuente de alimentación.</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10</w:t>
            </w:r>
          </w:p>
        </w:tc>
        <w:tc>
          <w:tcPr>
            <w:tcW w:w="4615"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Retira la placa madre.</w:t>
            </w:r>
          </w:p>
        </w:tc>
      </w:tr>
      <w:tr>
        <w:trPr/>
        <w:tc>
          <w:tcPr>
            <w:tcW w:w="601" w:type="dxa"/>
            <w:tcBorders>
              <w:bottom w:val="single" w:sz="6" w:space="0" w:color="D9D9E3"/>
            </w:tcBorders>
            <w:tcMar>
              <w:top w:w="0" w:type="dxa"/>
            </w:tcMar>
            <w:vAlign w:val="center"/>
          </w:tcPr>
          <w:p>
            <w:pPr>
              <w:pStyle w:val="Contenidodelatabla"/>
              <w:bidi w:val="0"/>
              <w:ind w:hanging="0" w:start="0" w:end="0"/>
              <w:jc w:val="start"/>
              <w:rPr/>
            </w:pPr>
            <w:r>
              <w:rPr/>
              <w:t>11</w:t>
            </w:r>
          </w:p>
        </w:tc>
        <w:tc>
          <w:tcPr>
            <w:tcW w:w="4615"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Retira otros componentes según sea necesario.</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Este es un resumen general y los pasos específicos pueden variar según el tipo y modelo de la computadora. Asegúrate de consultar las instrucciones del fabricante para obtener información detallada sobre tu dispositivo particular. Además, ten en cuenta las precauciones para evitar daños estáticos y otros riesgos al desensamblar hardware.</w:t>
      </w:r>
    </w:p>
    <w:p>
      <w:pPr>
        <w:pStyle w:val="BodyText"/>
        <w:bidi w:val="0"/>
        <w:spacing w:before="0" w:after="0"/>
        <w:ind w:hanging="0" w:start="0" w:end="0"/>
        <w:jc w:val="start"/>
        <w:rPr>
          <w:bdr w:val="single" w:sz="2" w:space="1" w:color="D9D9E3"/>
        </w:rPr>
      </w:pPr>
      <w:r>
        <w:rPr>
          <w:bdr w:val="single" w:sz="2" w:space="1" w:color="D9D9E3"/>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LibreOffice/7.6.2.1$Linux_X86_64 LibreOffice_project/56f7684011345957bbf33a7ee678afaf4d2ba333</Application>
  <AppVersion>15.0000</AppVersion>
  <Pages>4</Pages>
  <Words>1105</Words>
  <Characters>6143</Characters>
  <CharactersWithSpaces>7173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2023-12-17T16:39:57Z</dcterms:created>
  <dc:creator/>
  <dc:description/>
  <dc:language>es-ES</dc:language>
  <cp:lastModifiedBy/>
  <dcterms:modified xsi:type="dcterms:W3CDTF">2023-12-17T16:47:58Z</dcterms:modified>
  <cp:revision>1</cp:revision>
  <dc:subject/>
  <dc:title/>
</cp:coreProperties>
</file>