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CP sanBlas – Módulo 01 – 18/12/2023</w:t>
      </w:r>
    </w:p>
    <w:p>
      <w:pPr>
        <w:pStyle w:val="Normal"/>
        <w:bidi w:val="0"/>
        <w:jc w:val="start"/>
        <w:rPr/>
      </w:pPr>
      <w:r>
        <w:rPr/>
      </w:r>
    </w:p>
    <w:p>
      <w:pPr>
        <w:pStyle w:val="Normal"/>
        <w:bidi w:val="0"/>
        <w:jc w:val="start"/>
        <w:rPr/>
      </w:pPr>
      <w:r>
        <w:rPr/>
        <w:t>REVISIÓN SEMANAL</w:t>
      </w:r>
    </w:p>
    <w:p>
      <w:pPr>
        <w:pStyle w:val="Normal"/>
        <w:bidi w:val="0"/>
        <w:jc w:val="start"/>
        <w:rPr/>
      </w:pPr>
      <w:r>
        <w:rPr/>
        <w:t>-</w:t>
      </w:r>
      <w:r>
        <w:rPr/>
        <w:t>¿Qué es la arquitectura Von Neumman?</w:t>
      </w:r>
    </w:p>
    <w:p>
      <w:pPr>
        <w:pStyle w:val="Normal"/>
        <w:bidi w:val="0"/>
        <w:spacing w:before="0" w:after="283"/>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La arquitectura de von Neumann es un modelo conceptual para el diseño de una computadora digital que fue propuesto por el matemático y científico de la computación John von Neumann a mediados del siglo XX. Esta arquitectura es fundamental para el diseño de la mayoría de las computadoras modernas.</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Las características principales de la arquitectura de von Neumann incluyen:</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Unidad Central de Procesamiento (CPU):</w:t>
      </w:r>
      <w:r>
        <w:rPr/>
        <w:t xml:space="preserve"> La CPU es responsable de ejecutar instrucciones. En la arquitectura de von Neumann, tanto los datos como las instrucciones se almacenan en la memoria principal, y la CPU las recupera y procesa secuencialmente.</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bdr w:val="single" w:sz="2" w:space="1" w:color="D9D9E3"/>
        </w:rPr>
      </w:pPr>
      <w:r>
        <w:rPr>
          <w:bdr w:val="single" w:sz="2" w:space="1" w:color="D9D9E3"/>
        </w:rPr>
        <w:t>**Memoria: **Toda la información, tanto datos como instrucciones, se almacena en una memoria centralizada. Esta memoria es accesible tanto para la lectura como para la escritura por la CPU. La memoria se organiza en direcciones, y cada ubicación de memoria tiene un identificador único.</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Unidad de Control:</w:t>
      </w:r>
      <w:r>
        <w:rPr/>
        <w:t xml:space="preserve"> La unidad de control es responsable de interpretar las instrucciones almacenadas en la memoria y coordinar las operaciones de la CPU y otros componentes del sistema.</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Unidad Aritmético-Lógica (ALU):</w:t>
      </w:r>
      <w:r>
        <w:rPr/>
        <w:t xml:space="preserve"> La ALU realiza operaciones aritméticas y lógicas en los datos, de acuerdo con las instrucciones proporcionadas.</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Entrada/Salida (E/S):</w:t>
      </w:r>
      <w:r>
        <w:rPr/>
        <w:t xml:space="preserve"> Los dispositivos de entrada y salida están conectados al sistema para permitir la interacción con el entorno exterior. Estos dispositivos pueden ser teclados, monitores, discos duros, etc.</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Ejecución Secuencial de Instrucciones:</w:t>
      </w:r>
      <w:r>
        <w:rPr/>
        <w:t xml:space="preserve"> Las instrucciones se ejecutan de manera secuencial, una tras otra, a menos que haya un cambio de flujo de control debido a una instrucción de salto condicional o incondicional.</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La arquitectura de von Neumann es eficiente y ha sido la base para el diseño de la mayoría de las computadoras desde su propuesta. Sin embargo, también tiene limitaciones, como la posibilidad de cuellos de botella en el rendimiento debido a la ejecución secuencial de instrucciones y la necesidad de transferir datos entre la memoria y la CPU de manera constante. Estas limitaciones han llevado al desarrollo de arquitecturas más avanzadas, pero la arquitectura de von Neumann sigue siendo un concepto fundamental en la informática.</w:t>
      </w:r>
    </w:p>
    <w:p>
      <w:pPr>
        <w:pStyle w:val="BodyText"/>
        <w:bidi w:val="0"/>
        <w:spacing w:before="0" w:after="0"/>
        <w:ind w:hanging="0" w:start="0" w:end="0"/>
        <w:jc w:val="start"/>
        <w:rPr>
          <w:bdr w:val="single" w:sz="2" w:space="1" w:color="D9D9E3"/>
        </w:rPr>
      </w:pPr>
      <w:r>
        <w:rPr>
          <w:bdr w:val="single" w:sz="2" w:space="1" w:color="D9D9E3"/>
        </w:rPr>
        <w:drawing>
          <wp:inline distT="0" distB="0" distL="0" distR="0">
            <wp:extent cx="228600" cy="228600"/>
            <wp:effectExtent l="0" t="0" r="0" b="0"/>
            <wp:docPr id="1" name="Imagen1"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User"/>
                    <pic:cNvPicPr>
                      <a:picLocks noChangeAspect="1" noChangeArrowheads="1"/>
                    </pic:cNvPicPr>
                  </pic:nvPicPr>
                  <pic:blipFill>
                    <a:blip r:embed="rId2"/>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bidi w:val="0"/>
        <w:spacing w:before="0" w:after="0"/>
        <w:ind w:hanging="0" w:start="0" w:end="0"/>
        <w:jc w:val="start"/>
        <w:rPr>
          <w:bdr w:val="single" w:sz="2" w:space="1" w:color="D9D9E3"/>
        </w:rPr>
      </w:pPr>
      <w:r>
        <w:rPr>
          <w:bdr w:val="single" w:sz="2" w:space="1" w:color="D9D9E3"/>
        </w:rPr>
        <w:t>Tú</w:t>
      </w:r>
    </w:p>
    <w:p>
      <w:pPr>
        <w:pStyle w:val="BodyText"/>
        <w:bidi w:val="0"/>
        <w:spacing w:before="0" w:after="0"/>
        <w:ind w:hanging="0" w:start="0" w:end="0"/>
        <w:jc w:val="start"/>
        <w:rPr>
          <w:bdr w:val="single" w:sz="2" w:space="1" w:color="D9D9E3"/>
        </w:rPr>
      </w:pPr>
      <w:r>
        <w:rPr>
          <w:bdr w:val="single" w:sz="2" w:space="1" w:color="D9D9E3"/>
        </w:rPr>
        <w:t xml:space="preserve">Genera un listado en formato tabla con los conectores externos de un equipo microinformático. Indica su descripción y año de inicio. </w:t>
      </w:r>
    </w:p>
    <w:p>
      <w:pPr>
        <w:pStyle w:val="BodyText"/>
        <w:bidi w:val="0"/>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Aquí tienes un listado en formato de tabla con algunos conectores externos comunes en un equipo microinformático, junto con su descripción y año aproximado de inicio de su uso generalizado:</w:t>
      </w:r>
    </w:p>
    <w:tbl>
      <w:tblPr>
        <w:tblW w:w="9638" w:type="dxa"/>
        <w:jc w:val="start"/>
        <w:tblInd w:w="0" w:type="dxa"/>
        <w:tblLayout w:type="fixed"/>
        <w:tblCellMar>
          <w:top w:w="28" w:type="dxa"/>
          <w:start w:w="0" w:type="dxa"/>
          <w:bottom w:w="28" w:type="dxa"/>
          <w:end w:w="0" w:type="dxa"/>
        </w:tblCellMar>
      </w:tblPr>
      <w:tblGrid>
        <w:gridCol w:w="2878"/>
        <w:gridCol w:w="4339"/>
        <w:gridCol w:w="2421"/>
      </w:tblGrid>
      <w:tr>
        <w:trPr>
          <w:tblHeader w:val="true"/>
        </w:trPr>
        <w:tc>
          <w:tcPr>
            <w:tcW w:w="2878" w:type="dxa"/>
            <w:tcBorders>
              <w:top w:val="single" w:sz="6" w:space="0" w:color="D9D9E3"/>
              <w:bottom w:val="single" w:sz="6" w:space="0" w:color="D9D9E3"/>
            </w:tcBorders>
            <w:vAlign w:val="center"/>
          </w:tcPr>
          <w:p>
            <w:pPr>
              <w:pStyle w:val="Ttulodelatabla"/>
              <w:bidi w:val="0"/>
              <w:ind w:hanging="0" w:start="0" w:end="0"/>
              <w:rPr/>
            </w:pPr>
            <w:r>
              <w:rPr/>
              <w:t>Conector</w:t>
            </w:r>
          </w:p>
        </w:tc>
        <w:tc>
          <w:tcPr>
            <w:tcW w:w="4339" w:type="dxa"/>
            <w:tcBorders>
              <w:top w:val="single" w:sz="6" w:space="0" w:color="D9D9E3"/>
              <w:bottom w:val="single" w:sz="6" w:space="0" w:color="D9D9E3"/>
            </w:tcBorders>
            <w:vAlign w:val="center"/>
          </w:tcPr>
          <w:p>
            <w:pPr>
              <w:pStyle w:val="Ttulodelatabla"/>
              <w:bidi w:val="0"/>
              <w:ind w:hanging="0" w:start="0" w:end="0"/>
              <w:rPr/>
            </w:pPr>
            <w:r>
              <w:rPr/>
              <w:t>Descripción</w:t>
            </w:r>
          </w:p>
        </w:tc>
        <w:tc>
          <w:tcPr>
            <w:tcW w:w="2421" w:type="dxa"/>
            <w:tcBorders>
              <w:top w:val="single" w:sz="2" w:space="0" w:color="D9D9E3"/>
              <w:start w:val="single" w:sz="2" w:space="0" w:color="D9D9E3"/>
              <w:bottom w:val="single" w:sz="2" w:space="0" w:color="D9D9E3"/>
              <w:end w:val="single" w:sz="2" w:space="0" w:color="D9D9E3"/>
            </w:tcBorders>
            <w:tcMar>
              <w:start w:w="28" w:type="dxa"/>
              <w:end w:w="28" w:type="dxa"/>
            </w:tcMar>
            <w:vAlign w:val="center"/>
          </w:tcPr>
          <w:p>
            <w:pPr>
              <w:pStyle w:val="Ttulodelatabla"/>
              <w:bidi w:val="0"/>
              <w:ind w:hanging="0" w:start="0" w:end="0"/>
              <w:rPr/>
            </w:pPr>
            <w:r>
              <w:rPr/>
              <w:t>Año de Inicio</w:t>
            </w:r>
          </w:p>
        </w:tc>
      </w:tr>
      <w:tr>
        <w:trPr/>
        <w:tc>
          <w:tcPr>
            <w:tcW w:w="2878" w:type="dxa"/>
            <w:tcBorders>
              <w:bottom w:val="single" w:sz="6" w:space="0" w:color="D9D9E3"/>
            </w:tcBorders>
            <w:tcMar>
              <w:top w:w="0" w:type="dxa"/>
            </w:tcMar>
            <w:vAlign w:val="center"/>
          </w:tcPr>
          <w:p>
            <w:pPr>
              <w:pStyle w:val="Contenidodelatabla"/>
              <w:bidi w:val="0"/>
              <w:ind w:hanging="0" w:start="0" w:end="0"/>
              <w:jc w:val="start"/>
              <w:rPr/>
            </w:pPr>
            <w:r>
              <w:rPr/>
              <w:t>USB (Universal Serial Bus)</w:t>
            </w:r>
          </w:p>
        </w:tc>
        <w:tc>
          <w:tcPr>
            <w:tcW w:w="4339" w:type="dxa"/>
            <w:tcBorders>
              <w:bottom w:val="single" w:sz="6" w:space="0" w:color="D9D9E3"/>
            </w:tcBorders>
            <w:tcMar>
              <w:top w:w="0" w:type="dxa"/>
            </w:tcMar>
            <w:vAlign w:val="center"/>
          </w:tcPr>
          <w:p>
            <w:pPr>
              <w:pStyle w:val="Contenidodelatabla"/>
              <w:bidi w:val="0"/>
              <w:ind w:hanging="0" w:start="0" w:end="0"/>
              <w:jc w:val="start"/>
              <w:rPr/>
            </w:pPr>
            <w:r>
              <w:rPr/>
              <w:t>Conector estándar para la conexión de periféricos como impresoras, teclados, ratones, etc.</w:t>
            </w:r>
          </w:p>
        </w:tc>
        <w:tc>
          <w:tcPr>
            <w:tcW w:w="2421"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1996</w:t>
            </w:r>
          </w:p>
        </w:tc>
      </w:tr>
      <w:tr>
        <w:trPr/>
        <w:tc>
          <w:tcPr>
            <w:tcW w:w="2878" w:type="dxa"/>
            <w:tcBorders>
              <w:bottom w:val="single" w:sz="6" w:space="0" w:color="D9D9E3"/>
            </w:tcBorders>
            <w:tcMar>
              <w:top w:w="0" w:type="dxa"/>
            </w:tcMar>
            <w:vAlign w:val="center"/>
          </w:tcPr>
          <w:p>
            <w:pPr>
              <w:pStyle w:val="Contenidodelatabla"/>
              <w:bidi w:val="0"/>
              <w:ind w:hanging="0" w:start="0" w:end="0"/>
              <w:jc w:val="start"/>
              <w:rPr/>
            </w:pPr>
            <w:r>
              <w:rPr/>
              <w:t>HDMI (High-Definition Multimedia Interface)</w:t>
            </w:r>
          </w:p>
        </w:tc>
        <w:tc>
          <w:tcPr>
            <w:tcW w:w="4339" w:type="dxa"/>
            <w:tcBorders>
              <w:bottom w:val="single" w:sz="6" w:space="0" w:color="D9D9E3"/>
            </w:tcBorders>
            <w:tcMar>
              <w:top w:w="0" w:type="dxa"/>
            </w:tcMar>
            <w:vAlign w:val="center"/>
          </w:tcPr>
          <w:p>
            <w:pPr>
              <w:pStyle w:val="Contenidodelatabla"/>
              <w:bidi w:val="0"/>
              <w:ind w:hanging="0" w:start="0" w:end="0"/>
              <w:jc w:val="start"/>
              <w:rPr/>
            </w:pPr>
            <w:r>
              <w:rPr/>
              <w:t>Transmite audio y video de alta calidad en un solo cable. Común en monitores y televisores.</w:t>
            </w:r>
          </w:p>
        </w:tc>
        <w:tc>
          <w:tcPr>
            <w:tcW w:w="2421"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2002</w:t>
            </w:r>
          </w:p>
        </w:tc>
      </w:tr>
      <w:tr>
        <w:trPr/>
        <w:tc>
          <w:tcPr>
            <w:tcW w:w="2878" w:type="dxa"/>
            <w:tcBorders>
              <w:bottom w:val="single" w:sz="6" w:space="0" w:color="D9D9E3"/>
            </w:tcBorders>
            <w:tcMar>
              <w:top w:w="0" w:type="dxa"/>
            </w:tcMar>
            <w:vAlign w:val="center"/>
          </w:tcPr>
          <w:p>
            <w:pPr>
              <w:pStyle w:val="Contenidodelatabla"/>
              <w:bidi w:val="0"/>
              <w:ind w:hanging="0" w:start="0" w:end="0"/>
              <w:jc w:val="start"/>
              <w:rPr/>
            </w:pPr>
            <w:r>
              <w:rPr/>
              <w:t>Ethernet (RJ45)</w:t>
            </w:r>
          </w:p>
        </w:tc>
        <w:tc>
          <w:tcPr>
            <w:tcW w:w="4339" w:type="dxa"/>
            <w:tcBorders>
              <w:bottom w:val="single" w:sz="6" w:space="0" w:color="D9D9E3"/>
            </w:tcBorders>
            <w:tcMar>
              <w:top w:w="0" w:type="dxa"/>
            </w:tcMar>
            <w:vAlign w:val="center"/>
          </w:tcPr>
          <w:p>
            <w:pPr>
              <w:pStyle w:val="Contenidodelatabla"/>
              <w:bidi w:val="0"/>
              <w:ind w:hanging="0" w:start="0" w:end="0"/>
              <w:jc w:val="start"/>
              <w:rPr/>
            </w:pPr>
            <w:r>
              <w:rPr/>
              <w:t>Conector para redes de área local (LAN) mediante cables Ethernet.</w:t>
            </w:r>
          </w:p>
        </w:tc>
        <w:tc>
          <w:tcPr>
            <w:tcW w:w="2421"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1970s (popularizado en los años 1990)</w:t>
            </w:r>
          </w:p>
        </w:tc>
      </w:tr>
      <w:tr>
        <w:trPr/>
        <w:tc>
          <w:tcPr>
            <w:tcW w:w="2878" w:type="dxa"/>
            <w:tcBorders>
              <w:bottom w:val="single" w:sz="6" w:space="0" w:color="D9D9E3"/>
            </w:tcBorders>
            <w:tcMar>
              <w:top w:w="0" w:type="dxa"/>
            </w:tcMar>
            <w:vAlign w:val="center"/>
          </w:tcPr>
          <w:p>
            <w:pPr>
              <w:pStyle w:val="Contenidodelatabla"/>
              <w:bidi w:val="0"/>
              <w:ind w:hanging="0" w:start="0" w:end="0"/>
              <w:jc w:val="start"/>
              <w:rPr/>
            </w:pPr>
            <w:r>
              <w:rPr/>
              <w:t>Audio (3.5mm)</w:t>
            </w:r>
          </w:p>
        </w:tc>
        <w:tc>
          <w:tcPr>
            <w:tcW w:w="4339" w:type="dxa"/>
            <w:tcBorders>
              <w:bottom w:val="single" w:sz="6" w:space="0" w:color="D9D9E3"/>
            </w:tcBorders>
            <w:tcMar>
              <w:top w:w="0" w:type="dxa"/>
            </w:tcMar>
            <w:vAlign w:val="center"/>
          </w:tcPr>
          <w:p>
            <w:pPr>
              <w:pStyle w:val="Contenidodelatabla"/>
              <w:bidi w:val="0"/>
              <w:ind w:hanging="0" w:start="0" w:end="0"/>
              <w:jc w:val="start"/>
              <w:rPr/>
            </w:pPr>
            <w:r>
              <w:rPr/>
              <w:t>Conector para auriculares y altavoces.</w:t>
            </w:r>
          </w:p>
        </w:tc>
        <w:tc>
          <w:tcPr>
            <w:tcW w:w="2421"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1960</w:t>
            </w:r>
          </w:p>
        </w:tc>
      </w:tr>
      <w:tr>
        <w:trPr/>
        <w:tc>
          <w:tcPr>
            <w:tcW w:w="2878" w:type="dxa"/>
            <w:tcBorders>
              <w:bottom w:val="single" w:sz="6" w:space="0" w:color="D9D9E3"/>
            </w:tcBorders>
            <w:tcMar>
              <w:top w:w="0" w:type="dxa"/>
            </w:tcMar>
            <w:vAlign w:val="center"/>
          </w:tcPr>
          <w:p>
            <w:pPr>
              <w:pStyle w:val="Contenidodelatabla"/>
              <w:bidi w:val="0"/>
              <w:ind w:hanging="0" w:start="0" w:end="0"/>
              <w:jc w:val="start"/>
              <w:rPr/>
            </w:pPr>
            <w:r>
              <w:rPr/>
              <w:t>VGA (Video Graphics Array)</w:t>
            </w:r>
          </w:p>
        </w:tc>
        <w:tc>
          <w:tcPr>
            <w:tcW w:w="4339" w:type="dxa"/>
            <w:tcBorders>
              <w:bottom w:val="single" w:sz="6" w:space="0" w:color="D9D9E3"/>
            </w:tcBorders>
            <w:tcMar>
              <w:top w:w="0" w:type="dxa"/>
            </w:tcMar>
            <w:vAlign w:val="center"/>
          </w:tcPr>
          <w:p>
            <w:pPr>
              <w:pStyle w:val="Contenidodelatabla"/>
              <w:bidi w:val="0"/>
              <w:ind w:hanging="0" w:start="0" w:end="0"/>
              <w:jc w:val="start"/>
              <w:rPr/>
            </w:pPr>
            <w:r>
              <w:rPr/>
              <w:t>Conector analógico para la transmisión de señales de video.</w:t>
            </w:r>
          </w:p>
        </w:tc>
        <w:tc>
          <w:tcPr>
            <w:tcW w:w="2421"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1987</w:t>
            </w:r>
          </w:p>
        </w:tc>
      </w:tr>
      <w:tr>
        <w:trPr/>
        <w:tc>
          <w:tcPr>
            <w:tcW w:w="2878" w:type="dxa"/>
            <w:tcBorders>
              <w:bottom w:val="single" w:sz="6" w:space="0" w:color="D9D9E3"/>
            </w:tcBorders>
            <w:tcMar>
              <w:top w:w="0" w:type="dxa"/>
            </w:tcMar>
            <w:vAlign w:val="center"/>
          </w:tcPr>
          <w:p>
            <w:pPr>
              <w:pStyle w:val="Contenidodelatabla"/>
              <w:bidi w:val="0"/>
              <w:ind w:hanging="0" w:start="0" w:end="0"/>
              <w:jc w:val="start"/>
              <w:rPr/>
            </w:pPr>
            <w:r>
              <w:rPr/>
              <w:t>DVI (Digital Visual Interface)</w:t>
            </w:r>
          </w:p>
        </w:tc>
        <w:tc>
          <w:tcPr>
            <w:tcW w:w="4339" w:type="dxa"/>
            <w:tcBorders>
              <w:bottom w:val="single" w:sz="6" w:space="0" w:color="D9D9E3"/>
            </w:tcBorders>
            <w:tcMar>
              <w:top w:w="0" w:type="dxa"/>
            </w:tcMar>
            <w:vAlign w:val="center"/>
          </w:tcPr>
          <w:p>
            <w:pPr>
              <w:pStyle w:val="Contenidodelatabla"/>
              <w:bidi w:val="0"/>
              <w:ind w:hanging="0" w:start="0" w:end="0"/>
              <w:jc w:val="start"/>
              <w:rPr/>
            </w:pPr>
            <w:r>
              <w:rPr/>
              <w:t>Transmite señales digitales de video.</w:t>
            </w:r>
          </w:p>
        </w:tc>
        <w:tc>
          <w:tcPr>
            <w:tcW w:w="2421"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1999</w:t>
            </w:r>
          </w:p>
        </w:tc>
      </w:tr>
      <w:tr>
        <w:trPr/>
        <w:tc>
          <w:tcPr>
            <w:tcW w:w="2878" w:type="dxa"/>
            <w:tcBorders>
              <w:bottom w:val="single" w:sz="6" w:space="0" w:color="D9D9E3"/>
            </w:tcBorders>
            <w:tcMar>
              <w:top w:w="0" w:type="dxa"/>
            </w:tcMar>
            <w:vAlign w:val="center"/>
          </w:tcPr>
          <w:p>
            <w:pPr>
              <w:pStyle w:val="Contenidodelatabla"/>
              <w:bidi w:val="0"/>
              <w:ind w:hanging="0" w:start="0" w:end="0"/>
              <w:jc w:val="start"/>
              <w:rPr/>
            </w:pPr>
            <w:r>
              <w:rPr/>
              <w:t>DisplayPort</w:t>
            </w:r>
          </w:p>
        </w:tc>
        <w:tc>
          <w:tcPr>
            <w:tcW w:w="4339" w:type="dxa"/>
            <w:tcBorders>
              <w:bottom w:val="single" w:sz="6" w:space="0" w:color="D9D9E3"/>
            </w:tcBorders>
            <w:tcMar>
              <w:top w:w="0" w:type="dxa"/>
            </w:tcMar>
            <w:vAlign w:val="center"/>
          </w:tcPr>
          <w:p>
            <w:pPr>
              <w:pStyle w:val="Contenidodelatabla"/>
              <w:bidi w:val="0"/>
              <w:ind w:hanging="0" w:start="0" w:end="0"/>
              <w:jc w:val="start"/>
              <w:rPr/>
            </w:pPr>
            <w:r>
              <w:rPr/>
              <w:t>Interfaz para transmitir audio y video digital, utilizada en monitores y pantallas.</w:t>
            </w:r>
          </w:p>
        </w:tc>
        <w:tc>
          <w:tcPr>
            <w:tcW w:w="2421"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2006</w:t>
            </w:r>
          </w:p>
        </w:tc>
      </w:tr>
      <w:tr>
        <w:trPr/>
        <w:tc>
          <w:tcPr>
            <w:tcW w:w="2878" w:type="dxa"/>
            <w:tcBorders>
              <w:bottom w:val="single" w:sz="6" w:space="0" w:color="D9D9E3"/>
            </w:tcBorders>
            <w:tcMar>
              <w:top w:w="0" w:type="dxa"/>
            </w:tcMar>
            <w:vAlign w:val="center"/>
          </w:tcPr>
          <w:p>
            <w:pPr>
              <w:pStyle w:val="Contenidodelatabla"/>
              <w:bidi w:val="0"/>
              <w:ind w:hanging="0" w:start="0" w:end="0"/>
              <w:jc w:val="start"/>
              <w:rPr/>
            </w:pPr>
            <w:r>
              <w:rPr/>
              <w:t>Thunderbolt</w:t>
            </w:r>
          </w:p>
        </w:tc>
        <w:tc>
          <w:tcPr>
            <w:tcW w:w="4339" w:type="dxa"/>
            <w:tcBorders>
              <w:bottom w:val="single" w:sz="6" w:space="0" w:color="D9D9E3"/>
            </w:tcBorders>
            <w:tcMar>
              <w:top w:w="0" w:type="dxa"/>
            </w:tcMar>
            <w:vAlign w:val="center"/>
          </w:tcPr>
          <w:p>
            <w:pPr>
              <w:pStyle w:val="Contenidodelatabla"/>
              <w:bidi w:val="0"/>
              <w:ind w:hanging="0" w:start="0" w:end="0"/>
              <w:jc w:val="start"/>
              <w:rPr/>
            </w:pPr>
            <w:r>
              <w:rPr/>
              <w:t>Conector de alta velocidad para la transmisión de datos y video.</w:t>
            </w:r>
          </w:p>
        </w:tc>
        <w:tc>
          <w:tcPr>
            <w:tcW w:w="2421"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2011</w:t>
            </w:r>
          </w:p>
        </w:tc>
      </w:tr>
      <w:tr>
        <w:trPr/>
        <w:tc>
          <w:tcPr>
            <w:tcW w:w="2878" w:type="dxa"/>
            <w:tcBorders>
              <w:bottom w:val="single" w:sz="6" w:space="0" w:color="D9D9E3"/>
            </w:tcBorders>
            <w:tcMar>
              <w:top w:w="0" w:type="dxa"/>
            </w:tcMar>
            <w:vAlign w:val="center"/>
          </w:tcPr>
          <w:p>
            <w:pPr>
              <w:pStyle w:val="Contenidodelatabla"/>
              <w:bidi w:val="0"/>
              <w:ind w:hanging="0" w:start="0" w:end="0"/>
              <w:jc w:val="start"/>
              <w:rPr/>
            </w:pPr>
            <w:r>
              <w:rPr/>
              <w:t>Micro USB</w:t>
            </w:r>
          </w:p>
        </w:tc>
        <w:tc>
          <w:tcPr>
            <w:tcW w:w="4339" w:type="dxa"/>
            <w:tcBorders>
              <w:bottom w:val="single" w:sz="6" w:space="0" w:color="D9D9E3"/>
            </w:tcBorders>
            <w:tcMar>
              <w:top w:w="0" w:type="dxa"/>
            </w:tcMar>
            <w:vAlign w:val="center"/>
          </w:tcPr>
          <w:p>
            <w:pPr>
              <w:pStyle w:val="Contenidodelatabla"/>
              <w:bidi w:val="0"/>
              <w:ind w:hanging="0" w:start="0" w:end="0"/>
              <w:jc w:val="start"/>
              <w:rPr/>
            </w:pPr>
            <w:r>
              <w:rPr/>
              <w:t>Versión más pequeña del conector USB, común en dispositivos móviles.</w:t>
            </w:r>
          </w:p>
        </w:tc>
        <w:tc>
          <w:tcPr>
            <w:tcW w:w="2421"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2007</w:t>
            </w:r>
          </w:p>
        </w:tc>
      </w:tr>
      <w:tr>
        <w:trPr/>
        <w:tc>
          <w:tcPr>
            <w:tcW w:w="2878" w:type="dxa"/>
            <w:tcBorders>
              <w:bottom w:val="single" w:sz="6" w:space="0" w:color="D9D9E3"/>
            </w:tcBorders>
            <w:tcMar>
              <w:top w:w="0" w:type="dxa"/>
            </w:tcMar>
            <w:vAlign w:val="center"/>
          </w:tcPr>
          <w:p>
            <w:pPr>
              <w:pStyle w:val="Contenidodelatabla"/>
              <w:bidi w:val="0"/>
              <w:ind w:hanging="0" w:start="0" w:end="0"/>
              <w:jc w:val="start"/>
              <w:rPr/>
            </w:pPr>
            <w:r>
              <w:rPr/>
              <w:t>USB-C</w:t>
            </w:r>
          </w:p>
        </w:tc>
        <w:tc>
          <w:tcPr>
            <w:tcW w:w="4339" w:type="dxa"/>
            <w:tcBorders>
              <w:bottom w:val="single" w:sz="6" w:space="0" w:color="D9D9E3"/>
            </w:tcBorders>
            <w:tcMar>
              <w:top w:w="0" w:type="dxa"/>
            </w:tcMar>
            <w:vAlign w:val="center"/>
          </w:tcPr>
          <w:p>
            <w:pPr>
              <w:pStyle w:val="Contenidodelatabla"/>
              <w:bidi w:val="0"/>
              <w:ind w:hanging="0" w:start="0" w:end="0"/>
              <w:jc w:val="start"/>
              <w:rPr/>
            </w:pPr>
            <w:r>
              <w:rPr/>
              <w:t>Conector reversible y versátil, utilizado para carga y transferencia de datos.</w:t>
            </w:r>
          </w:p>
        </w:tc>
        <w:tc>
          <w:tcPr>
            <w:tcW w:w="2421" w:type="dxa"/>
            <w:tcBorders>
              <w:bottom w:val="single" w:sz="6" w:space="0" w:color="D9D9E3"/>
              <w:end w:val="single" w:sz="6" w:space="0" w:color="D9D9E3"/>
            </w:tcBorders>
            <w:tcMar>
              <w:top w:w="0" w:type="dxa"/>
              <w:end w:w="28" w:type="dxa"/>
            </w:tcMar>
            <w:vAlign w:val="center"/>
          </w:tcPr>
          <w:p>
            <w:pPr>
              <w:pStyle w:val="Contenidodelatabla"/>
              <w:widowControl w:val="false"/>
              <w:suppressLineNumbers/>
              <w:bidi w:val="0"/>
              <w:jc w:val="start"/>
              <w:rPr/>
            </w:pPr>
            <w:r>
              <w:rPr/>
              <w:t>2014</w:t>
            </w:r>
          </w:p>
        </w:tc>
      </w:tr>
    </w:tbl>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Es importante tener en cuenta que las fechas de inicio pueden variar según la adopción generalizada de estos conectores en dispositivos específicos. Además, algunos conectores pueden haber tenido versiones anteriores antes de las fechas mencionadas.</w:t>
      </w:r>
    </w:p>
    <w:p>
      <w:pPr>
        <w:pStyle w:val="BodyText"/>
        <w:bidi w:val="0"/>
        <w:spacing w:before="0" w:after="0"/>
        <w:ind w:hanging="0" w:start="0" w:end="0"/>
        <w:jc w:val="start"/>
        <w:rPr>
          <w:bdr w:val="single" w:sz="2" w:space="1" w:color="D9D9E3"/>
        </w:rPr>
      </w:pPr>
      <w:r>
        <w:rPr>
          <w:bdr w:val="single" w:sz="2" w:space="1" w:color="D9D9E3"/>
        </w:rPr>
        <w:drawing>
          <wp:inline distT="0" distB="0" distL="0" distR="0">
            <wp:extent cx="228600" cy="228600"/>
            <wp:effectExtent l="0" t="0" r="0" b="0"/>
            <wp:docPr id="2" name="Imagen2"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User"/>
                    <pic:cNvPicPr>
                      <a:picLocks noChangeAspect="1" noChangeArrowheads="1"/>
                    </pic:cNvPicPr>
                  </pic:nvPicPr>
                  <pic:blipFill>
                    <a:blip r:embed="rId3"/>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bidi w:val="0"/>
        <w:spacing w:before="0" w:after="0"/>
        <w:ind w:hanging="0" w:start="0" w:end="0"/>
        <w:jc w:val="start"/>
        <w:rPr>
          <w:bdr w:val="single" w:sz="2" w:space="1" w:color="D9D9E3"/>
        </w:rPr>
      </w:pPr>
      <w:r>
        <w:rPr>
          <w:bdr w:val="single" w:sz="2" w:space="1" w:color="D9D9E3"/>
        </w:rPr>
        <w:t>Tú</w:t>
      </w:r>
    </w:p>
    <w:p>
      <w:pPr>
        <w:pStyle w:val="BodyText"/>
        <w:bidi w:val="0"/>
        <w:spacing w:before="0" w:after="0"/>
        <w:ind w:hanging="0" w:start="0" w:end="0"/>
        <w:jc w:val="start"/>
        <w:rPr>
          <w:bdr w:val="single" w:sz="2" w:space="1" w:color="D9D9E3"/>
        </w:rPr>
      </w:pPr>
      <w:r>
        <w:rPr>
          <w:bdr w:val="single" w:sz="2" w:space="1" w:color="D9D9E3"/>
        </w:rPr>
        <w:t>Agrega conectores ps2, vga, com, lpt, s/pdif, sonido (jack in out) , iee1394, esata, ...</w:t>
      </w:r>
    </w:p>
    <w:p>
      <w:pPr>
        <w:pStyle w:val="BodyText"/>
        <w:bidi w:val="0"/>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A continuación, se amplía la tabla con algunos conectores adicionales comunes en un equipo microinformático, junto con su descripción y año aproximado de inicio de su uso generalizado:</w:t>
      </w:r>
    </w:p>
    <w:tbl>
      <w:tblPr>
        <w:tblW w:w="9638" w:type="dxa"/>
        <w:jc w:val="start"/>
        <w:tblInd w:w="0" w:type="dxa"/>
        <w:tblLayout w:type="fixed"/>
        <w:tblCellMar>
          <w:top w:w="28" w:type="dxa"/>
          <w:start w:w="0" w:type="dxa"/>
          <w:bottom w:w="28" w:type="dxa"/>
          <w:end w:w="0" w:type="dxa"/>
        </w:tblCellMar>
      </w:tblPr>
      <w:tblGrid>
        <w:gridCol w:w="2831"/>
        <w:gridCol w:w="4424"/>
        <w:gridCol w:w="2383"/>
      </w:tblGrid>
      <w:tr>
        <w:trPr>
          <w:tblHeader w:val="true"/>
        </w:trPr>
        <w:tc>
          <w:tcPr>
            <w:tcW w:w="2831" w:type="dxa"/>
            <w:tcBorders>
              <w:top w:val="single" w:sz="6" w:space="0" w:color="D9D9E3"/>
              <w:bottom w:val="single" w:sz="6" w:space="0" w:color="D9D9E3"/>
            </w:tcBorders>
            <w:vAlign w:val="center"/>
          </w:tcPr>
          <w:p>
            <w:pPr>
              <w:pStyle w:val="Ttulodelatabla"/>
              <w:bidi w:val="0"/>
              <w:ind w:hanging="0" w:start="0" w:end="0"/>
              <w:rPr/>
            </w:pPr>
            <w:r>
              <w:rPr/>
              <w:t>Conector</w:t>
            </w:r>
          </w:p>
        </w:tc>
        <w:tc>
          <w:tcPr>
            <w:tcW w:w="4424" w:type="dxa"/>
            <w:tcBorders>
              <w:top w:val="single" w:sz="6" w:space="0" w:color="D9D9E3"/>
              <w:bottom w:val="single" w:sz="6" w:space="0" w:color="D9D9E3"/>
            </w:tcBorders>
            <w:vAlign w:val="center"/>
          </w:tcPr>
          <w:p>
            <w:pPr>
              <w:pStyle w:val="Ttulodelatabla"/>
              <w:bidi w:val="0"/>
              <w:ind w:hanging="0" w:start="0" w:end="0"/>
              <w:rPr/>
            </w:pPr>
            <w:r>
              <w:rPr/>
              <w:t>Descripción</w:t>
            </w:r>
          </w:p>
        </w:tc>
        <w:tc>
          <w:tcPr>
            <w:tcW w:w="2383" w:type="dxa"/>
            <w:tcBorders>
              <w:top w:val="single" w:sz="2" w:space="0" w:color="D9D9E3"/>
              <w:start w:val="single" w:sz="2" w:space="0" w:color="D9D9E3"/>
              <w:bottom w:val="single" w:sz="2" w:space="0" w:color="D9D9E3"/>
              <w:end w:val="single" w:sz="2" w:space="0" w:color="D9D9E3"/>
            </w:tcBorders>
            <w:tcMar>
              <w:start w:w="28" w:type="dxa"/>
              <w:end w:w="28" w:type="dxa"/>
            </w:tcMar>
            <w:vAlign w:val="center"/>
          </w:tcPr>
          <w:p>
            <w:pPr>
              <w:pStyle w:val="Ttulodelatabla"/>
              <w:bidi w:val="0"/>
              <w:ind w:hanging="0" w:start="0" w:end="0"/>
              <w:rPr/>
            </w:pPr>
            <w:r>
              <w:rPr/>
              <w:t>Año de Inicio</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USB (Universal Serial Bus)</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Conector estándar para la conexión de periféricos como impresoras, teclados, ratones, etc.</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1996</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HDMI (High-Definition Multimedia Interface)</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Transmite audio y video de alta calidad en un solo cable. Común en monitores y televisores.</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2002</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Ethernet (RJ45)</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Conector para redes de área local (LAN) mediante cables Ethernet.</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1970s (popularizado en los años 1990)</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Audio (3.5mm)</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Conector para auriculares y altavoces.</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1960</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VGA (Video Graphics Array)</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Conector analógico para la transmisión de señales de video.</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1987</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DVI (Digital Visual Interface)</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Transmite señales digitales de video.</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1999</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DisplayPort</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Interfaz para transmitir audio y video digital, utilizada en monitores y pantallas.</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2006</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Thunderbolt</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Conector de alta velocidad para la transmisión de datos y video.</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2011</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Micro USB</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Versión más pequeña del conector USB, común en dispositivos móviles.</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2007</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USB-C</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Conector reversible y versátil, utilizado para carga y transferencia de datos.</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2014</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PS/2</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Conector para teclado y ratón.</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1980</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Serial (COM)</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Puerto de comunicación serial.</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1960</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Parallel (LPT)</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Puerto paralelo para la conexión de impresoras y otros dispositivos.</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1970</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S/PDIF (Sony/Philips Digital Interface)</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Conector para la transmisión de señales de audio digital.</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1980</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Audio (Jack In/Out)</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Conectores de audio para entrada (Micrófono/Line In) y salida (Altavoces/Line Out).</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1960</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IEEE 1394 (FireWire)</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Conector de alta velocidad para la transmisión de datos y video.</w:t>
            </w:r>
          </w:p>
        </w:tc>
        <w:tc>
          <w:tcPr>
            <w:tcW w:w="2383"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1995</w:t>
            </w:r>
          </w:p>
        </w:tc>
      </w:tr>
      <w:tr>
        <w:trPr/>
        <w:tc>
          <w:tcPr>
            <w:tcW w:w="2831" w:type="dxa"/>
            <w:tcBorders>
              <w:bottom w:val="single" w:sz="6" w:space="0" w:color="D9D9E3"/>
            </w:tcBorders>
            <w:tcMar>
              <w:top w:w="0" w:type="dxa"/>
            </w:tcMar>
            <w:vAlign w:val="center"/>
          </w:tcPr>
          <w:p>
            <w:pPr>
              <w:pStyle w:val="Contenidodelatabla"/>
              <w:bidi w:val="0"/>
              <w:ind w:hanging="0" w:start="0" w:end="0"/>
              <w:jc w:val="start"/>
              <w:rPr/>
            </w:pPr>
            <w:r>
              <w:rPr/>
              <w:t>eSATA</w:t>
            </w:r>
          </w:p>
        </w:tc>
        <w:tc>
          <w:tcPr>
            <w:tcW w:w="4424" w:type="dxa"/>
            <w:tcBorders>
              <w:bottom w:val="single" w:sz="6" w:space="0" w:color="D9D9E3"/>
            </w:tcBorders>
            <w:tcMar>
              <w:top w:w="0" w:type="dxa"/>
            </w:tcMar>
            <w:vAlign w:val="center"/>
          </w:tcPr>
          <w:p>
            <w:pPr>
              <w:pStyle w:val="Contenidodelatabla"/>
              <w:bidi w:val="0"/>
              <w:ind w:hanging="0" w:start="0" w:end="0"/>
              <w:jc w:val="start"/>
              <w:rPr/>
            </w:pPr>
            <w:r>
              <w:rPr/>
              <w:t>Conector externo para la conexión de dispositivos de almacenamiento SATA.</w:t>
            </w:r>
          </w:p>
        </w:tc>
        <w:tc>
          <w:tcPr>
            <w:tcW w:w="2383" w:type="dxa"/>
            <w:tcBorders>
              <w:bottom w:val="single" w:sz="6" w:space="0" w:color="D9D9E3"/>
              <w:end w:val="single" w:sz="6" w:space="0" w:color="D9D9E3"/>
            </w:tcBorders>
            <w:tcMar>
              <w:top w:w="0" w:type="dxa"/>
              <w:end w:w="28" w:type="dxa"/>
            </w:tcMar>
            <w:vAlign w:val="center"/>
          </w:tcPr>
          <w:p>
            <w:pPr>
              <w:pStyle w:val="Contenidodelatabla"/>
              <w:widowControl w:val="false"/>
              <w:suppressLineNumbers/>
              <w:bidi w:val="0"/>
              <w:jc w:val="start"/>
              <w:rPr/>
            </w:pPr>
            <w:r>
              <w:rPr/>
              <w:t>2004</w:t>
            </w:r>
          </w:p>
        </w:tc>
      </w:tr>
    </w:tbl>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Estos son solo algunos ejemplos de conectores, y la disponibilidad y uso pueden variar según el tipo de dispositivo y la época de fabricación.</w:t>
      </w:r>
    </w:p>
    <w:p>
      <w:pPr>
        <w:pStyle w:val="BodyText"/>
        <w:bidi w:val="0"/>
        <w:spacing w:before="0" w:after="0"/>
        <w:ind w:hanging="0" w:start="0" w:end="0"/>
        <w:jc w:val="start"/>
        <w:rPr>
          <w:bdr w:val="single" w:sz="2" w:space="1" w:color="D9D9E3"/>
        </w:rPr>
      </w:pPr>
      <w:r>
        <w:rPr>
          <w:bdr w:val="single" w:sz="2" w:space="1" w:color="D9D9E3"/>
        </w:rPr>
        <w:drawing>
          <wp:inline distT="0" distB="0" distL="0" distR="0">
            <wp:extent cx="228600" cy="228600"/>
            <wp:effectExtent l="0" t="0" r="0" b="0"/>
            <wp:docPr id="3" name="Imagen3"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User"/>
                    <pic:cNvPicPr>
                      <a:picLocks noChangeAspect="1" noChangeArrowheads="1"/>
                    </pic:cNvPicPr>
                  </pic:nvPicPr>
                  <pic:blipFill>
                    <a:blip r:embed="rId4"/>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bidi w:val="0"/>
        <w:spacing w:before="0" w:after="0"/>
        <w:ind w:hanging="0" w:start="0" w:end="0"/>
        <w:jc w:val="start"/>
        <w:rPr>
          <w:bdr w:val="single" w:sz="2" w:space="1" w:color="D9D9E3"/>
        </w:rPr>
      </w:pPr>
      <w:r>
        <w:rPr>
          <w:bdr w:val="single" w:sz="2" w:space="1" w:color="D9D9E3"/>
        </w:rPr>
        <w:t>Tú</w:t>
      </w:r>
    </w:p>
    <w:p>
      <w:pPr>
        <w:pStyle w:val="BodyText"/>
        <w:bidi w:val="0"/>
        <w:spacing w:before="0" w:after="0"/>
        <w:ind w:hanging="0" w:start="0" w:end="0"/>
        <w:jc w:val="start"/>
        <w:rPr>
          <w:bdr w:val="single" w:sz="2" w:space="1" w:color="D9D9E3"/>
        </w:rPr>
      </w:pPr>
      <w:r>
        <w:rPr>
          <w:bdr w:val="single" w:sz="2" w:space="1" w:color="D9D9E3"/>
        </w:rPr>
        <w:t>Realiza la misma tarea pero con conectores internos</w:t>
      </w:r>
    </w:p>
    <w:p>
      <w:pPr>
        <w:pStyle w:val="BodyText"/>
        <w:bidi w:val="0"/>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Aquí está un listado en formato de tabla con algunos conectores internos comunes en un equipo microinformático, junto con su descripción y año aproximado de inicio de su uso generalizado:</w:t>
      </w:r>
    </w:p>
    <w:tbl>
      <w:tblPr>
        <w:tblW w:w="9638" w:type="dxa"/>
        <w:jc w:val="start"/>
        <w:tblInd w:w="0" w:type="dxa"/>
        <w:tblLayout w:type="fixed"/>
        <w:tblCellMar>
          <w:top w:w="28" w:type="dxa"/>
          <w:start w:w="0" w:type="dxa"/>
          <w:bottom w:w="28" w:type="dxa"/>
          <w:end w:w="0" w:type="dxa"/>
        </w:tblCellMar>
      </w:tblPr>
      <w:tblGrid>
        <w:gridCol w:w="2973"/>
        <w:gridCol w:w="5578"/>
        <w:gridCol w:w="1087"/>
      </w:tblGrid>
      <w:tr>
        <w:trPr>
          <w:tblHeader w:val="true"/>
        </w:trPr>
        <w:tc>
          <w:tcPr>
            <w:tcW w:w="2973" w:type="dxa"/>
            <w:tcBorders>
              <w:top w:val="single" w:sz="6" w:space="0" w:color="D9D9E3"/>
              <w:bottom w:val="single" w:sz="6" w:space="0" w:color="D9D9E3"/>
            </w:tcBorders>
            <w:vAlign w:val="center"/>
          </w:tcPr>
          <w:p>
            <w:pPr>
              <w:pStyle w:val="Ttulodelatabla"/>
              <w:bidi w:val="0"/>
              <w:ind w:hanging="0" w:start="0" w:end="0"/>
              <w:rPr/>
            </w:pPr>
            <w:r>
              <w:rPr/>
              <w:t>Conector</w:t>
            </w:r>
          </w:p>
        </w:tc>
        <w:tc>
          <w:tcPr>
            <w:tcW w:w="5578" w:type="dxa"/>
            <w:tcBorders>
              <w:top w:val="single" w:sz="6" w:space="0" w:color="D9D9E3"/>
              <w:bottom w:val="single" w:sz="6" w:space="0" w:color="D9D9E3"/>
            </w:tcBorders>
            <w:vAlign w:val="center"/>
          </w:tcPr>
          <w:p>
            <w:pPr>
              <w:pStyle w:val="Ttulodelatabla"/>
              <w:bidi w:val="0"/>
              <w:ind w:hanging="0" w:start="0" w:end="0"/>
              <w:rPr/>
            </w:pPr>
            <w:r>
              <w:rPr/>
              <w:t>Descripción</w:t>
            </w:r>
          </w:p>
        </w:tc>
        <w:tc>
          <w:tcPr>
            <w:tcW w:w="1087" w:type="dxa"/>
            <w:tcBorders>
              <w:top w:val="single" w:sz="2" w:space="0" w:color="D9D9E3"/>
              <w:start w:val="single" w:sz="2" w:space="0" w:color="D9D9E3"/>
              <w:bottom w:val="single" w:sz="2" w:space="0" w:color="D9D9E3"/>
              <w:end w:val="single" w:sz="2" w:space="0" w:color="D9D9E3"/>
            </w:tcBorders>
            <w:tcMar>
              <w:start w:w="28" w:type="dxa"/>
              <w:end w:w="28" w:type="dxa"/>
            </w:tcMar>
            <w:vAlign w:val="center"/>
          </w:tcPr>
          <w:p>
            <w:pPr>
              <w:pStyle w:val="Ttulodelatabla"/>
              <w:bidi w:val="0"/>
              <w:ind w:hanging="0" w:start="0" w:end="0"/>
              <w:rPr/>
            </w:pPr>
            <w:r>
              <w:rPr/>
              <w:t>Año de Inicio</w:t>
            </w:r>
          </w:p>
        </w:tc>
      </w:tr>
      <w:tr>
        <w:trPr/>
        <w:tc>
          <w:tcPr>
            <w:tcW w:w="2973" w:type="dxa"/>
            <w:tcBorders>
              <w:bottom w:val="single" w:sz="6" w:space="0" w:color="D9D9E3"/>
            </w:tcBorders>
            <w:tcMar>
              <w:top w:w="0" w:type="dxa"/>
            </w:tcMar>
            <w:vAlign w:val="center"/>
          </w:tcPr>
          <w:p>
            <w:pPr>
              <w:pStyle w:val="Contenidodelatabla"/>
              <w:bidi w:val="0"/>
              <w:ind w:hanging="0" w:start="0" w:end="0"/>
              <w:jc w:val="start"/>
              <w:rPr/>
            </w:pPr>
            <w:r>
              <w:rPr/>
              <w:t>SATA (Serial ATA)</w:t>
            </w:r>
          </w:p>
        </w:tc>
        <w:tc>
          <w:tcPr>
            <w:tcW w:w="5578" w:type="dxa"/>
            <w:tcBorders>
              <w:bottom w:val="single" w:sz="6" w:space="0" w:color="D9D9E3"/>
            </w:tcBorders>
            <w:tcMar>
              <w:top w:w="0" w:type="dxa"/>
            </w:tcMar>
            <w:vAlign w:val="center"/>
          </w:tcPr>
          <w:p>
            <w:pPr>
              <w:pStyle w:val="Contenidodelatabla"/>
              <w:bidi w:val="0"/>
              <w:ind w:hanging="0" w:start="0" w:end="0"/>
              <w:jc w:val="start"/>
              <w:rPr/>
            </w:pPr>
            <w:r>
              <w:rPr/>
              <w:t>Conector para la conexión de discos duros y unidades de estado sólido (SSD).</w:t>
            </w:r>
          </w:p>
        </w:tc>
        <w:tc>
          <w:tcPr>
            <w:tcW w:w="1087"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2003</w:t>
            </w:r>
          </w:p>
        </w:tc>
      </w:tr>
      <w:tr>
        <w:trPr/>
        <w:tc>
          <w:tcPr>
            <w:tcW w:w="2973" w:type="dxa"/>
            <w:tcBorders>
              <w:bottom w:val="single" w:sz="6" w:space="0" w:color="D9D9E3"/>
            </w:tcBorders>
            <w:tcMar>
              <w:top w:w="0" w:type="dxa"/>
            </w:tcMar>
            <w:vAlign w:val="center"/>
          </w:tcPr>
          <w:p>
            <w:pPr>
              <w:pStyle w:val="Contenidodelatabla"/>
              <w:bidi w:val="0"/>
              <w:ind w:hanging="0" w:start="0" w:end="0"/>
              <w:jc w:val="start"/>
              <w:rPr/>
            </w:pPr>
            <w:r>
              <w:rPr/>
              <w:t>PCIe (Peripheral Component Interconnect Express)</w:t>
            </w:r>
          </w:p>
        </w:tc>
        <w:tc>
          <w:tcPr>
            <w:tcW w:w="5578" w:type="dxa"/>
            <w:tcBorders>
              <w:bottom w:val="single" w:sz="6" w:space="0" w:color="D9D9E3"/>
            </w:tcBorders>
            <w:tcMar>
              <w:top w:w="0" w:type="dxa"/>
            </w:tcMar>
            <w:vAlign w:val="center"/>
          </w:tcPr>
          <w:p>
            <w:pPr>
              <w:pStyle w:val="Contenidodelatabla"/>
              <w:bidi w:val="0"/>
              <w:ind w:hanging="0" w:start="0" w:end="0"/>
              <w:jc w:val="start"/>
              <w:rPr/>
            </w:pPr>
            <w:r>
              <w:rPr/>
              <w:t>Interfaz de conexión de componentes internos, como tarjetas gráficas y tarjetas de expansión.</w:t>
            </w:r>
          </w:p>
        </w:tc>
        <w:tc>
          <w:tcPr>
            <w:tcW w:w="1087"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2003</w:t>
            </w:r>
          </w:p>
        </w:tc>
      </w:tr>
      <w:tr>
        <w:trPr/>
        <w:tc>
          <w:tcPr>
            <w:tcW w:w="2973" w:type="dxa"/>
            <w:tcBorders>
              <w:bottom w:val="single" w:sz="6" w:space="0" w:color="D9D9E3"/>
            </w:tcBorders>
            <w:tcMar>
              <w:top w:w="0" w:type="dxa"/>
            </w:tcMar>
            <w:vAlign w:val="center"/>
          </w:tcPr>
          <w:p>
            <w:pPr>
              <w:pStyle w:val="Contenidodelatabla"/>
              <w:bidi w:val="0"/>
              <w:ind w:hanging="0" w:start="0" w:end="0"/>
              <w:jc w:val="start"/>
              <w:rPr/>
            </w:pPr>
            <w:r>
              <w:rPr/>
              <w:t>RAM DIMM (Dual Inline Memory Module)</w:t>
            </w:r>
          </w:p>
        </w:tc>
        <w:tc>
          <w:tcPr>
            <w:tcW w:w="5578" w:type="dxa"/>
            <w:tcBorders>
              <w:bottom w:val="single" w:sz="6" w:space="0" w:color="D9D9E3"/>
            </w:tcBorders>
            <w:tcMar>
              <w:top w:w="0" w:type="dxa"/>
            </w:tcMar>
            <w:vAlign w:val="center"/>
          </w:tcPr>
          <w:p>
            <w:pPr>
              <w:pStyle w:val="Contenidodelatabla"/>
              <w:bidi w:val="0"/>
              <w:ind w:hanging="0" w:start="0" w:end="0"/>
              <w:jc w:val="start"/>
              <w:rPr/>
            </w:pPr>
            <w:r>
              <w:rPr/>
              <w:t>Conector para módulos de memoria RAM.</w:t>
            </w:r>
          </w:p>
        </w:tc>
        <w:tc>
          <w:tcPr>
            <w:tcW w:w="1087"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1980</w:t>
            </w:r>
          </w:p>
        </w:tc>
      </w:tr>
      <w:tr>
        <w:trPr/>
        <w:tc>
          <w:tcPr>
            <w:tcW w:w="2973" w:type="dxa"/>
            <w:tcBorders>
              <w:bottom w:val="single" w:sz="6" w:space="0" w:color="D9D9E3"/>
            </w:tcBorders>
            <w:tcMar>
              <w:top w:w="0" w:type="dxa"/>
            </w:tcMar>
            <w:vAlign w:val="center"/>
          </w:tcPr>
          <w:p>
            <w:pPr>
              <w:pStyle w:val="Contenidodelatabla"/>
              <w:bidi w:val="0"/>
              <w:ind w:hanging="0" w:start="0" w:end="0"/>
              <w:jc w:val="start"/>
              <w:rPr/>
            </w:pPr>
            <w:r>
              <w:rPr/>
              <w:t>CPU Socket</w:t>
            </w:r>
          </w:p>
        </w:tc>
        <w:tc>
          <w:tcPr>
            <w:tcW w:w="5578" w:type="dxa"/>
            <w:tcBorders>
              <w:bottom w:val="single" w:sz="6" w:space="0" w:color="D9D9E3"/>
            </w:tcBorders>
            <w:tcMar>
              <w:top w:w="0" w:type="dxa"/>
            </w:tcMar>
            <w:vAlign w:val="center"/>
          </w:tcPr>
          <w:p>
            <w:pPr>
              <w:pStyle w:val="Contenidodelatabla"/>
              <w:bidi w:val="0"/>
              <w:ind w:hanging="0" w:start="0" w:end="0"/>
              <w:jc w:val="start"/>
              <w:rPr/>
            </w:pPr>
            <w:r>
              <w:rPr/>
              <w:t>Conector para la instalación del procesador (CPU).</w:t>
            </w:r>
          </w:p>
        </w:tc>
        <w:tc>
          <w:tcPr>
            <w:tcW w:w="1087"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1980</w:t>
            </w:r>
          </w:p>
        </w:tc>
      </w:tr>
      <w:tr>
        <w:trPr/>
        <w:tc>
          <w:tcPr>
            <w:tcW w:w="2973" w:type="dxa"/>
            <w:tcBorders>
              <w:bottom w:val="single" w:sz="6" w:space="0" w:color="D9D9E3"/>
            </w:tcBorders>
            <w:tcMar>
              <w:top w:w="0" w:type="dxa"/>
            </w:tcMar>
            <w:vAlign w:val="center"/>
          </w:tcPr>
          <w:p>
            <w:pPr>
              <w:pStyle w:val="Contenidodelatabla"/>
              <w:bidi w:val="0"/>
              <w:ind w:hanging="0" w:start="0" w:end="0"/>
              <w:jc w:val="start"/>
              <w:rPr/>
            </w:pPr>
            <w:r>
              <w:rPr/>
              <w:t>Power Connector (ATX)</w:t>
            </w:r>
          </w:p>
        </w:tc>
        <w:tc>
          <w:tcPr>
            <w:tcW w:w="5578" w:type="dxa"/>
            <w:tcBorders>
              <w:bottom w:val="single" w:sz="6" w:space="0" w:color="D9D9E3"/>
            </w:tcBorders>
            <w:tcMar>
              <w:top w:w="0" w:type="dxa"/>
            </w:tcMar>
            <w:vAlign w:val="center"/>
          </w:tcPr>
          <w:p>
            <w:pPr>
              <w:pStyle w:val="Contenidodelatabla"/>
              <w:bidi w:val="0"/>
              <w:ind w:hanging="0" w:start="0" w:end="0"/>
              <w:jc w:val="start"/>
              <w:rPr/>
            </w:pPr>
            <w:r>
              <w:rPr/>
              <w:t>Conector para la fuente de alimentación de la placa madre (ATX).</w:t>
            </w:r>
          </w:p>
        </w:tc>
        <w:tc>
          <w:tcPr>
            <w:tcW w:w="1087"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1995</w:t>
            </w:r>
          </w:p>
        </w:tc>
      </w:tr>
      <w:tr>
        <w:trPr/>
        <w:tc>
          <w:tcPr>
            <w:tcW w:w="2973" w:type="dxa"/>
            <w:tcBorders>
              <w:bottom w:val="single" w:sz="6" w:space="0" w:color="D9D9E3"/>
            </w:tcBorders>
            <w:tcMar>
              <w:top w:w="0" w:type="dxa"/>
            </w:tcMar>
            <w:vAlign w:val="center"/>
          </w:tcPr>
          <w:p>
            <w:pPr>
              <w:pStyle w:val="Contenidodelatabla"/>
              <w:bidi w:val="0"/>
              <w:ind w:hanging="0" w:start="0" w:end="0"/>
              <w:jc w:val="start"/>
              <w:rPr/>
            </w:pPr>
            <w:r>
              <w:rPr/>
              <w:t>Front Panel Connectors</w:t>
            </w:r>
          </w:p>
        </w:tc>
        <w:tc>
          <w:tcPr>
            <w:tcW w:w="5578" w:type="dxa"/>
            <w:tcBorders>
              <w:bottom w:val="single" w:sz="6" w:space="0" w:color="D9D9E3"/>
            </w:tcBorders>
            <w:tcMar>
              <w:top w:w="0" w:type="dxa"/>
            </w:tcMar>
            <w:vAlign w:val="center"/>
          </w:tcPr>
          <w:p>
            <w:pPr>
              <w:pStyle w:val="Contenidodelatabla"/>
              <w:bidi w:val="0"/>
              <w:ind w:hanging="0" w:start="0" w:end="0"/>
              <w:jc w:val="start"/>
              <w:rPr/>
            </w:pPr>
            <w:r>
              <w:rPr/>
              <w:t>Conectores para los botones de encendido, reinicio, LED indicadores, etc., en el panel frontal de la carcasa.</w:t>
            </w:r>
          </w:p>
        </w:tc>
        <w:tc>
          <w:tcPr>
            <w:tcW w:w="1087"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Varía</w:t>
            </w:r>
          </w:p>
        </w:tc>
      </w:tr>
      <w:tr>
        <w:trPr/>
        <w:tc>
          <w:tcPr>
            <w:tcW w:w="2973" w:type="dxa"/>
            <w:tcBorders>
              <w:bottom w:val="single" w:sz="6" w:space="0" w:color="D9D9E3"/>
            </w:tcBorders>
            <w:tcMar>
              <w:top w:w="0" w:type="dxa"/>
            </w:tcMar>
            <w:vAlign w:val="center"/>
          </w:tcPr>
          <w:p>
            <w:pPr>
              <w:pStyle w:val="Contenidodelatabla"/>
              <w:bidi w:val="0"/>
              <w:ind w:hanging="0" w:start="0" w:end="0"/>
              <w:jc w:val="start"/>
              <w:rPr/>
            </w:pPr>
            <w:r>
              <w:rPr/>
              <w:t>USB Header</w:t>
            </w:r>
          </w:p>
        </w:tc>
        <w:tc>
          <w:tcPr>
            <w:tcW w:w="5578" w:type="dxa"/>
            <w:tcBorders>
              <w:bottom w:val="single" w:sz="6" w:space="0" w:color="D9D9E3"/>
            </w:tcBorders>
            <w:tcMar>
              <w:top w:w="0" w:type="dxa"/>
            </w:tcMar>
            <w:vAlign w:val="center"/>
          </w:tcPr>
          <w:p>
            <w:pPr>
              <w:pStyle w:val="Contenidodelatabla"/>
              <w:bidi w:val="0"/>
              <w:ind w:hanging="0" w:start="0" w:end="0"/>
              <w:jc w:val="start"/>
              <w:rPr/>
            </w:pPr>
            <w:r>
              <w:rPr/>
              <w:t>Conector para la conexión de puertos USB internos.</w:t>
            </w:r>
          </w:p>
        </w:tc>
        <w:tc>
          <w:tcPr>
            <w:tcW w:w="1087"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1990</w:t>
            </w:r>
          </w:p>
        </w:tc>
      </w:tr>
      <w:tr>
        <w:trPr/>
        <w:tc>
          <w:tcPr>
            <w:tcW w:w="2973" w:type="dxa"/>
            <w:tcBorders>
              <w:bottom w:val="single" w:sz="6" w:space="0" w:color="D9D9E3"/>
            </w:tcBorders>
            <w:tcMar>
              <w:top w:w="0" w:type="dxa"/>
            </w:tcMar>
            <w:vAlign w:val="center"/>
          </w:tcPr>
          <w:p>
            <w:pPr>
              <w:pStyle w:val="Contenidodelatabla"/>
              <w:bidi w:val="0"/>
              <w:ind w:hanging="0" w:start="0" w:end="0"/>
              <w:jc w:val="start"/>
              <w:rPr/>
            </w:pPr>
            <w:r>
              <w:rPr/>
              <w:t>SATA Power Connector</w:t>
            </w:r>
          </w:p>
        </w:tc>
        <w:tc>
          <w:tcPr>
            <w:tcW w:w="5578" w:type="dxa"/>
            <w:tcBorders>
              <w:bottom w:val="single" w:sz="6" w:space="0" w:color="D9D9E3"/>
            </w:tcBorders>
            <w:tcMar>
              <w:top w:w="0" w:type="dxa"/>
            </w:tcMar>
            <w:vAlign w:val="center"/>
          </w:tcPr>
          <w:p>
            <w:pPr>
              <w:pStyle w:val="Contenidodelatabla"/>
              <w:bidi w:val="0"/>
              <w:ind w:hanging="0" w:start="0" w:end="0"/>
              <w:jc w:val="start"/>
              <w:rPr/>
            </w:pPr>
            <w:r>
              <w:rPr/>
              <w:t>Conector de energía para dispositivos SATA, como discos duros y unidades ópticas.</w:t>
            </w:r>
          </w:p>
        </w:tc>
        <w:tc>
          <w:tcPr>
            <w:tcW w:w="1087"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2003</w:t>
            </w:r>
          </w:p>
        </w:tc>
      </w:tr>
      <w:tr>
        <w:trPr/>
        <w:tc>
          <w:tcPr>
            <w:tcW w:w="2973" w:type="dxa"/>
            <w:tcBorders>
              <w:bottom w:val="single" w:sz="6" w:space="0" w:color="D9D9E3"/>
            </w:tcBorders>
            <w:tcMar>
              <w:top w:w="0" w:type="dxa"/>
            </w:tcMar>
            <w:vAlign w:val="center"/>
          </w:tcPr>
          <w:p>
            <w:pPr>
              <w:pStyle w:val="Contenidodelatabla"/>
              <w:bidi w:val="0"/>
              <w:ind w:hanging="0" w:start="0" w:end="0"/>
              <w:jc w:val="start"/>
              <w:rPr/>
            </w:pPr>
            <w:r>
              <w:rPr/>
              <w:t>CPU Power Connector</w:t>
            </w:r>
          </w:p>
        </w:tc>
        <w:tc>
          <w:tcPr>
            <w:tcW w:w="5578" w:type="dxa"/>
            <w:tcBorders>
              <w:bottom w:val="single" w:sz="6" w:space="0" w:color="D9D9E3"/>
            </w:tcBorders>
            <w:tcMar>
              <w:top w:w="0" w:type="dxa"/>
            </w:tcMar>
            <w:vAlign w:val="center"/>
          </w:tcPr>
          <w:p>
            <w:pPr>
              <w:pStyle w:val="Contenidodelatabla"/>
              <w:bidi w:val="0"/>
              <w:ind w:hanging="0" w:start="0" w:end="0"/>
              <w:jc w:val="start"/>
              <w:rPr/>
            </w:pPr>
            <w:r>
              <w:rPr/>
              <w:t>Conector de alimentación adicional para el procesador.</w:t>
            </w:r>
          </w:p>
        </w:tc>
        <w:tc>
          <w:tcPr>
            <w:tcW w:w="1087"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1990</w:t>
            </w:r>
          </w:p>
        </w:tc>
      </w:tr>
      <w:tr>
        <w:trPr/>
        <w:tc>
          <w:tcPr>
            <w:tcW w:w="2973" w:type="dxa"/>
            <w:tcBorders>
              <w:bottom w:val="single" w:sz="6" w:space="0" w:color="D9D9E3"/>
            </w:tcBorders>
            <w:tcMar>
              <w:top w:w="0" w:type="dxa"/>
            </w:tcMar>
            <w:vAlign w:val="center"/>
          </w:tcPr>
          <w:p>
            <w:pPr>
              <w:pStyle w:val="Contenidodelatabla"/>
              <w:bidi w:val="0"/>
              <w:ind w:hanging="0" w:start="0" w:end="0"/>
              <w:jc w:val="start"/>
              <w:rPr/>
            </w:pPr>
            <w:r>
              <w:rPr/>
              <w:t>PCIe Power Connector</w:t>
            </w:r>
          </w:p>
        </w:tc>
        <w:tc>
          <w:tcPr>
            <w:tcW w:w="5578" w:type="dxa"/>
            <w:tcBorders>
              <w:bottom w:val="single" w:sz="6" w:space="0" w:color="D9D9E3"/>
            </w:tcBorders>
            <w:tcMar>
              <w:top w:w="0" w:type="dxa"/>
            </w:tcMar>
            <w:vAlign w:val="center"/>
          </w:tcPr>
          <w:p>
            <w:pPr>
              <w:pStyle w:val="Contenidodelatabla"/>
              <w:bidi w:val="0"/>
              <w:ind w:hanging="0" w:start="0" w:end="0"/>
              <w:jc w:val="start"/>
              <w:rPr/>
            </w:pPr>
            <w:r>
              <w:rPr/>
              <w:t>Conector de alimentación adicional para tarjetas gráficas PCIe.</w:t>
            </w:r>
          </w:p>
        </w:tc>
        <w:tc>
          <w:tcPr>
            <w:tcW w:w="1087"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2000</w:t>
            </w:r>
          </w:p>
        </w:tc>
      </w:tr>
      <w:tr>
        <w:trPr/>
        <w:tc>
          <w:tcPr>
            <w:tcW w:w="2973" w:type="dxa"/>
            <w:tcBorders>
              <w:bottom w:val="single" w:sz="6" w:space="0" w:color="D9D9E3"/>
            </w:tcBorders>
            <w:tcMar>
              <w:top w:w="0" w:type="dxa"/>
            </w:tcMar>
            <w:vAlign w:val="center"/>
          </w:tcPr>
          <w:p>
            <w:pPr>
              <w:pStyle w:val="Contenidodelatabla"/>
              <w:bidi w:val="0"/>
              <w:ind w:hanging="0" w:start="0" w:end="0"/>
              <w:jc w:val="start"/>
              <w:rPr/>
            </w:pPr>
            <w:r>
              <w:rPr/>
              <w:t>M.2 Connector</w:t>
            </w:r>
          </w:p>
        </w:tc>
        <w:tc>
          <w:tcPr>
            <w:tcW w:w="5578" w:type="dxa"/>
            <w:tcBorders>
              <w:bottom w:val="single" w:sz="6" w:space="0" w:color="D9D9E3"/>
            </w:tcBorders>
            <w:tcMar>
              <w:top w:w="0" w:type="dxa"/>
            </w:tcMar>
            <w:vAlign w:val="center"/>
          </w:tcPr>
          <w:p>
            <w:pPr>
              <w:pStyle w:val="Contenidodelatabla"/>
              <w:bidi w:val="0"/>
              <w:ind w:hanging="0" w:start="0" w:end="0"/>
              <w:jc w:val="start"/>
              <w:rPr/>
            </w:pPr>
            <w:r>
              <w:rPr/>
              <w:t>Conector para discos M.2 (almacenamiento y conectividad).</w:t>
            </w:r>
          </w:p>
        </w:tc>
        <w:tc>
          <w:tcPr>
            <w:tcW w:w="1087"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2013</w:t>
            </w:r>
          </w:p>
        </w:tc>
      </w:tr>
      <w:tr>
        <w:trPr/>
        <w:tc>
          <w:tcPr>
            <w:tcW w:w="2973" w:type="dxa"/>
            <w:tcBorders>
              <w:bottom w:val="single" w:sz="6" w:space="0" w:color="D9D9E3"/>
            </w:tcBorders>
            <w:tcMar>
              <w:top w:w="0" w:type="dxa"/>
            </w:tcMar>
            <w:vAlign w:val="center"/>
          </w:tcPr>
          <w:p>
            <w:pPr>
              <w:pStyle w:val="Contenidodelatabla"/>
              <w:bidi w:val="0"/>
              <w:ind w:hanging="0" w:start="0" w:end="0"/>
              <w:jc w:val="start"/>
              <w:rPr/>
            </w:pPr>
            <w:r>
              <w:rPr/>
              <w:t>Internal Audio Header</w:t>
            </w:r>
          </w:p>
        </w:tc>
        <w:tc>
          <w:tcPr>
            <w:tcW w:w="5578" w:type="dxa"/>
            <w:tcBorders>
              <w:bottom w:val="single" w:sz="6" w:space="0" w:color="D9D9E3"/>
            </w:tcBorders>
            <w:tcMar>
              <w:top w:w="0" w:type="dxa"/>
            </w:tcMar>
            <w:vAlign w:val="center"/>
          </w:tcPr>
          <w:p>
            <w:pPr>
              <w:pStyle w:val="Contenidodelatabla"/>
              <w:bidi w:val="0"/>
              <w:ind w:hanging="0" w:start="0" w:end="0"/>
              <w:jc w:val="start"/>
              <w:rPr/>
            </w:pPr>
            <w:r>
              <w:rPr/>
              <w:t>Conector para la conexión de audio interno en la placa madre.</w:t>
            </w:r>
          </w:p>
        </w:tc>
        <w:tc>
          <w:tcPr>
            <w:tcW w:w="1087"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1990</w:t>
            </w:r>
          </w:p>
        </w:tc>
      </w:tr>
      <w:tr>
        <w:trPr/>
        <w:tc>
          <w:tcPr>
            <w:tcW w:w="2973" w:type="dxa"/>
            <w:tcBorders>
              <w:bottom w:val="single" w:sz="6" w:space="0" w:color="D9D9E3"/>
            </w:tcBorders>
            <w:tcMar>
              <w:top w:w="0" w:type="dxa"/>
            </w:tcMar>
            <w:vAlign w:val="center"/>
          </w:tcPr>
          <w:p>
            <w:pPr>
              <w:pStyle w:val="Contenidodelatabla"/>
              <w:bidi w:val="0"/>
              <w:ind w:hanging="0" w:start="0" w:end="0"/>
              <w:jc w:val="start"/>
              <w:rPr/>
            </w:pPr>
            <w:r>
              <w:rPr/>
              <w:t>TPM (Trusted Platform Module)</w:t>
            </w:r>
          </w:p>
        </w:tc>
        <w:tc>
          <w:tcPr>
            <w:tcW w:w="5578" w:type="dxa"/>
            <w:tcBorders>
              <w:bottom w:val="single" w:sz="6" w:space="0" w:color="D9D9E3"/>
            </w:tcBorders>
            <w:tcMar>
              <w:top w:w="0" w:type="dxa"/>
            </w:tcMar>
            <w:vAlign w:val="center"/>
          </w:tcPr>
          <w:p>
            <w:pPr>
              <w:pStyle w:val="Contenidodelatabla"/>
              <w:bidi w:val="0"/>
              <w:ind w:hanging="0" w:start="0" w:end="0"/>
              <w:jc w:val="start"/>
              <w:rPr/>
            </w:pPr>
            <w:r>
              <w:rPr/>
              <w:t>Conector para el módulo de plataforma segura utilizado en seguridad y criptografía.</w:t>
            </w:r>
          </w:p>
        </w:tc>
        <w:tc>
          <w:tcPr>
            <w:tcW w:w="1087" w:type="dxa"/>
            <w:tcBorders>
              <w:bottom w:val="single" w:sz="6" w:space="0" w:color="D9D9E3"/>
              <w:end w:val="single" w:sz="6" w:space="0" w:color="D9D9E3"/>
            </w:tcBorders>
            <w:tcMar>
              <w:top w:w="0" w:type="dxa"/>
              <w:end w:w="28" w:type="dxa"/>
            </w:tcMar>
            <w:vAlign w:val="center"/>
          </w:tcPr>
          <w:p>
            <w:pPr>
              <w:pStyle w:val="Contenidodelatabla"/>
              <w:widowControl w:val="false"/>
              <w:suppressLineNumbers/>
              <w:bidi w:val="0"/>
              <w:jc w:val="start"/>
              <w:rPr/>
            </w:pPr>
            <w:r>
              <w:rPr/>
              <w:t>Años 2000</w:t>
            </w:r>
          </w:p>
        </w:tc>
      </w:tr>
    </w:tbl>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Estos son ejemplos comunes de conectores internos, y la disponibilidad puede variar según el modelo y la época de fabricación de la placa madre. Además, ten en cuenta que las tecnologías y estándares pueden evolucionar, y nuevos conectores pueden surgir con el tiempo.</w:t>
      </w:r>
    </w:p>
    <w:p>
      <w:pPr>
        <w:pStyle w:val="BodyText"/>
        <w:bidi w:val="0"/>
        <w:spacing w:before="0" w:after="0"/>
        <w:ind w:hanging="0" w:start="0" w:end="0"/>
        <w:jc w:val="start"/>
        <w:rPr>
          <w:bdr w:val="single" w:sz="2" w:space="1" w:color="D9D9E3"/>
        </w:rPr>
      </w:pPr>
      <w:r>
        <w:rPr>
          <w:bdr w:val="single" w:sz="2" w:space="1" w:color="D9D9E3"/>
        </w:rPr>
        <w:drawing>
          <wp:inline distT="0" distB="0" distL="0" distR="0">
            <wp:extent cx="228600" cy="228600"/>
            <wp:effectExtent l="0" t="0" r="0" b="0"/>
            <wp:docPr id="4" name="Imagen4"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User"/>
                    <pic:cNvPicPr>
                      <a:picLocks noChangeAspect="1" noChangeArrowheads="1"/>
                    </pic:cNvPicPr>
                  </pic:nvPicPr>
                  <pic:blipFill>
                    <a:blip r:embed="rId5"/>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bidi w:val="0"/>
        <w:spacing w:before="0" w:after="0"/>
        <w:ind w:hanging="0" w:start="0" w:end="0"/>
        <w:jc w:val="start"/>
        <w:rPr>
          <w:bdr w:val="single" w:sz="2" w:space="1" w:color="D9D9E3"/>
        </w:rPr>
      </w:pPr>
      <w:r>
        <w:rPr>
          <w:bdr w:val="single" w:sz="2" w:space="1" w:color="D9D9E3"/>
        </w:rPr>
        <w:t>Tú</w:t>
      </w:r>
    </w:p>
    <w:p>
      <w:pPr>
        <w:pStyle w:val="BodyText"/>
        <w:bidi w:val="0"/>
        <w:spacing w:before="0" w:after="0"/>
        <w:ind w:hanging="0" w:start="0" w:end="0"/>
        <w:jc w:val="start"/>
        <w:rPr>
          <w:bdr w:val="single" w:sz="2" w:space="1" w:color="D9D9E3"/>
        </w:rPr>
      </w:pPr>
      <w:r>
        <w:rPr>
          <w:bdr w:val="single" w:sz="2" w:space="1" w:color="D9D9E3"/>
        </w:rPr>
        <w:t>Agrega los conectores iternos de IDE, AGP, Floppy, ...</w:t>
      </w:r>
    </w:p>
    <w:p>
      <w:pPr>
        <w:pStyle w:val="BodyText"/>
        <w:bidi w:val="0"/>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Aquí está la ampliación de la tabla con algunos conectores internos adicionales que fueron comunes en equipos informáticos en el pasado:</w:t>
      </w:r>
    </w:p>
    <w:tbl>
      <w:tblPr>
        <w:tblW w:w="9638" w:type="dxa"/>
        <w:jc w:val="start"/>
        <w:tblInd w:w="0" w:type="dxa"/>
        <w:tblLayout w:type="fixed"/>
        <w:tblCellMar>
          <w:top w:w="28" w:type="dxa"/>
          <w:start w:w="0" w:type="dxa"/>
          <w:bottom w:w="28" w:type="dxa"/>
          <w:end w:w="0" w:type="dxa"/>
        </w:tblCellMar>
      </w:tblPr>
      <w:tblGrid>
        <w:gridCol w:w="2984"/>
        <w:gridCol w:w="5568"/>
        <w:gridCol w:w="1086"/>
      </w:tblGrid>
      <w:tr>
        <w:trPr>
          <w:tblHeader w:val="true"/>
        </w:trPr>
        <w:tc>
          <w:tcPr>
            <w:tcW w:w="2984" w:type="dxa"/>
            <w:tcBorders>
              <w:top w:val="single" w:sz="6" w:space="0" w:color="D9D9E3"/>
              <w:bottom w:val="single" w:sz="6" w:space="0" w:color="D9D9E3"/>
            </w:tcBorders>
            <w:vAlign w:val="center"/>
          </w:tcPr>
          <w:p>
            <w:pPr>
              <w:pStyle w:val="Ttulodelatabla"/>
              <w:bidi w:val="0"/>
              <w:ind w:hanging="0" w:start="0" w:end="0"/>
              <w:rPr/>
            </w:pPr>
            <w:r>
              <w:rPr/>
              <w:t>Conector</w:t>
            </w:r>
          </w:p>
        </w:tc>
        <w:tc>
          <w:tcPr>
            <w:tcW w:w="5568" w:type="dxa"/>
            <w:tcBorders>
              <w:top w:val="single" w:sz="6" w:space="0" w:color="D9D9E3"/>
              <w:bottom w:val="single" w:sz="6" w:space="0" w:color="D9D9E3"/>
            </w:tcBorders>
            <w:vAlign w:val="center"/>
          </w:tcPr>
          <w:p>
            <w:pPr>
              <w:pStyle w:val="Ttulodelatabla"/>
              <w:bidi w:val="0"/>
              <w:ind w:hanging="0" w:start="0" w:end="0"/>
              <w:rPr/>
            </w:pPr>
            <w:r>
              <w:rPr/>
              <w:t>Descripción</w:t>
            </w:r>
          </w:p>
        </w:tc>
        <w:tc>
          <w:tcPr>
            <w:tcW w:w="1086" w:type="dxa"/>
            <w:tcBorders>
              <w:top w:val="single" w:sz="2" w:space="0" w:color="D9D9E3"/>
              <w:start w:val="single" w:sz="2" w:space="0" w:color="D9D9E3"/>
              <w:bottom w:val="single" w:sz="2" w:space="0" w:color="D9D9E3"/>
              <w:end w:val="single" w:sz="2" w:space="0" w:color="D9D9E3"/>
            </w:tcBorders>
            <w:tcMar>
              <w:start w:w="28" w:type="dxa"/>
              <w:end w:w="28" w:type="dxa"/>
            </w:tcMar>
            <w:vAlign w:val="center"/>
          </w:tcPr>
          <w:p>
            <w:pPr>
              <w:pStyle w:val="Ttulodelatabla"/>
              <w:bidi w:val="0"/>
              <w:ind w:hanging="0" w:start="0" w:end="0"/>
              <w:rPr/>
            </w:pPr>
            <w:r>
              <w:rPr/>
              <w:t>Año de Inicio</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SATA (Serial ATA)</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para la conexión de discos duros y unidades de estado sólido (SSD).</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2003</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PCIe (Peripheral Component Interconnect Express)</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Interfaz de conexión de componentes internos, como tarjetas gráficas y tarjetas de expansión.</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2003</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RAM DIMM (Dual Inline Memory Module)</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para módulos de memoria RAM.</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1980</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CPU Socket</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para la instalación del procesador (CPU).</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1980</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Power Connector (ATX)</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para la fuente de alimentación de la placa madre (ATX).</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1995</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Front Panel Connectors</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Conectores para los botones de encendido, reinicio, LED indicadores, etc., en el panel frontal de la carcasa.</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Varía</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USB Header</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para la conexión de puertos USB internos.</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1990</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SATA Power Connector</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de energía para dispositivos SATA, como discos duros y unidades ópticas.</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2003</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CPU Power Connector</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de alimentación adicional para el procesador.</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1990</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PCIe Power Connector</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de alimentación adicional para tarjetas gráficas PCIe.</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2000</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M.2 Connector</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para discos M.2 (almacenamiento y conectividad).</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2013</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Internal Audio Header</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para la conexión de audio interno en la placa madre.</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1990</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TPM (Trusted Platform Module)</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para el módulo de plataforma segura utilizado en seguridad y criptografía.</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2000</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IDE (Integrated Drive Electronics)</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para la conexión de discos duros y unidades ópticas en sistemas más antiguos.</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Años 1980</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AGP (Accelerated Graphics Port)</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para tarjetas gráficas en sistemas más antiguos.</w:t>
            </w:r>
          </w:p>
        </w:tc>
        <w:tc>
          <w:tcPr>
            <w:tcW w:w="1086"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1997</w:t>
            </w:r>
          </w:p>
        </w:tc>
      </w:tr>
      <w:tr>
        <w:trPr/>
        <w:tc>
          <w:tcPr>
            <w:tcW w:w="2984" w:type="dxa"/>
            <w:tcBorders>
              <w:bottom w:val="single" w:sz="6" w:space="0" w:color="D9D9E3"/>
            </w:tcBorders>
            <w:tcMar>
              <w:top w:w="0" w:type="dxa"/>
            </w:tcMar>
            <w:vAlign w:val="center"/>
          </w:tcPr>
          <w:p>
            <w:pPr>
              <w:pStyle w:val="Contenidodelatabla"/>
              <w:bidi w:val="0"/>
              <w:ind w:hanging="0" w:start="0" w:end="0"/>
              <w:jc w:val="start"/>
              <w:rPr/>
            </w:pPr>
            <w:r>
              <w:rPr/>
              <w:t>Floppy</w:t>
            </w:r>
          </w:p>
        </w:tc>
        <w:tc>
          <w:tcPr>
            <w:tcW w:w="5568" w:type="dxa"/>
            <w:tcBorders>
              <w:bottom w:val="single" w:sz="6" w:space="0" w:color="D9D9E3"/>
            </w:tcBorders>
            <w:tcMar>
              <w:top w:w="0" w:type="dxa"/>
            </w:tcMar>
            <w:vAlign w:val="center"/>
          </w:tcPr>
          <w:p>
            <w:pPr>
              <w:pStyle w:val="Contenidodelatabla"/>
              <w:bidi w:val="0"/>
              <w:ind w:hanging="0" w:start="0" w:end="0"/>
              <w:jc w:val="start"/>
              <w:rPr/>
            </w:pPr>
            <w:r>
              <w:rPr/>
              <w:t>Conector para unidades de disquete (floppy disk).</w:t>
            </w:r>
          </w:p>
        </w:tc>
        <w:tc>
          <w:tcPr>
            <w:tcW w:w="1086" w:type="dxa"/>
            <w:tcBorders>
              <w:bottom w:val="single" w:sz="6" w:space="0" w:color="D9D9E3"/>
              <w:end w:val="single" w:sz="6" w:space="0" w:color="D9D9E3"/>
            </w:tcBorders>
            <w:tcMar>
              <w:top w:w="0" w:type="dxa"/>
              <w:end w:w="28" w:type="dxa"/>
            </w:tcMar>
            <w:vAlign w:val="center"/>
          </w:tcPr>
          <w:p>
            <w:pPr>
              <w:pStyle w:val="Contenidodelatabla"/>
              <w:widowControl w:val="false"/>
              <w:suppressLineNumbers/>
              <w:bidi w:val="0"/>
              <w:jc w:val="start"/>
              <w:rPr/>
            </w:pPr>
            <w:r>
              <w:rPr/>
              <w:t>Años 1970</w:t>
            </w:r>
          </w:p>
        </w:tc>
      </w:tr>
    </w:tbl>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Estos conectores, como IDE, AGP y Floppy, eran comunes en sistemas más antiguos, pero con el tiempo han sido reemplazados por tecnologías más modernas, como SATA, PCIe y unidades de almacenamiento más avanzadas.</w:t>
      </w:r>
    </w:p>
    <w:p>
      <w:pPr>
        <w:pStyle w:val="BodyText"/>
        <w:bidi w:val="0"/>
        <w:spacing w:before="0" w:after="0"/>
        <w:ind w:hanging="0" w:start="0" w:end="0"/>
        <w:jc w:val="start"/>
        <w:rPr>
          <w:bdr w:val="single" w:sz="2" w:space="1" w:color="D9D9E3"/>
        </w:rPr>
      </w:pPr>
      <w:r>
        <w:rPr>
          <w:bdr w:val="single" w:sz="2" w:space="1" w:color="D9D9E3"/>
        </w:rPr>
        <w:drawing>
          <wp:inline distT="0" distB="0" distL="0" distR="0">
            <wp:extent cx="228600" cy="228600"/>
            <wp:effectExtent l="0" t="0" r="0" b="0"/>
            <wp:docPr id="5" name="Imagen5"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title="User"/>
                    <pic:cNvPicPr>
                      <a:picLocks noChangeAspect="1" noChangeArrowheads="1"/>
                    </pic:cNvPicPr>
                  </pic:nvPicPr>
                  <pic:blipFill>
                    <a:blip r:embed="rId6"/>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bidi w:val="0"/>
        <w:spacing w:before="0" w:after="0"/>
        <w:ind w:hanging="0" w:start="0" w:end="0"/>
        <w:jc w:val="start"/>
        <w:rPr>
          <w:bdr w:val="single" w:sz="2" w:space="1" w:color="D9D9E3"/>
        </w:rPr>
      </w:pPr>
      <w:r>
        <w:rPr>
          <w:bdr w:val="single" w:sz="2" w:space="1" w:color="D9D9E3"/>
        </w:rPr>
        <w:t>Tú</w:t>
      </w:r>
    </w:p>
    <w:p>
      <w:pPr>
        <w:pStyle w:val="BodyText"/>
        <w:bidi w:val="0"/>
        <w:spacing w:before="0" w:after="0"/>
        <w:ind w:hanging="0" w:start="0" w:end="0"/>
        <w:jc w:val="start"/>
        <w:rPr>
          <w:bdr w:val="single" w:sz="2" w:space="1" w:color="D9D9E3"/>
        </w:rPr>
      </w:pPr>
      <w:r>
        <w:rPr>
          <w:bdr w:val="single" w:sz="2" w:space="1" w:color="D9D9E3"/>
        </w:rPr>
        <w:t>Genera un listado en formato tabla con los tamaños estandarizados para cajas de pc</w:t>
      </w:r>
    </w:p>
    <w:p>
      <w:pPr>
        <w:pStyle w:val="BodyText"/>
        <w:bidi w:val="0"/>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Aquí tienes un listado en formato de tabla con algunos de los tamaños estandarizados para cajas (chasis) de PC:</w:t>
      </w:r>
    </w:p>
    <w:tbl>
      <w:tblPr>
        <w:tblW w:w="9638" w:type="dxa"/>
        <w:jc w:val="start"/>
        <w:tblInd w:w="0" w:type="dxa"/>
        <w:tblLayout w:type="fixed"/>
        <w:tblCellMar>
          <w:top w:w="28" w:type="dxa"/>
          <w:start w:w="0" w:type="dxa"/>
          <w:bottom w:w="28" w:type="dxa"/>
          <w:end w:w="0" w:type="dxa"/>
        </w:tblCellMar>
      </w:tblPr>
      <w:tblGrid>
        <w:gridCol w:w="2233"/>
        <w:gridCol w:w="3675"/>
        <w:gridCol w:w="3730"/>
      </w:tblGrid>
      <w:tr>
        <w:trPr>
          <w:tblHeader w:val="true"/>
        </w:trPr>
        <w:tc>
          <w:tcPr>
            <w:tcW w:w="2233" w:type="dxa"/>
            <w:tcBorders>
              <w:top w:val="single" w:sz="6" w:space="0" w:color="D9D9E3"/>
              <w:bottom w:val="single" w:sz="6" w:space="0" w:color="D9D9E3"/>
            </w:tcBorders>
            <w:vAlign w:val="center"/>
          </w:tcPr>
          <w:p>
            <w:pPr>
              <w:pStyle w:val="Ttulodelatabla"/>
              <w:bidi w:val="0"/>
              <w:ind w:hanging="0" w:start="0" w:end="0"/>
              <w:rPr/>
            </w:pPr>
            <w:r>
              <w:rPr/>
              <w:t>Factor de Forma</w:t>
            </w:r>
          </w:p>
        </w:tc>
        <w:tc>
          <w:tcPr>
            <w:tcW w:w="3675" w:type="dxa"/>
            <w:tcBorders>
              <w:top w:val="single" w:sz="6" w:space="0" w:color="D9D9E3"/>
              <w:bottom w:val="single" w:sz="6" w:space="0" w:color="D9D9E3"/>
            </w:tcBorders>
            <w:vAlign w:val="center"/>
          </w:tcPr>
          <w:p>
            <w:pPr>
              <w:pStyle w:val="Ttulodelatabla"/>
              <w:bidi w:val="0"/>
              <w:ind w:hanging="0" w:start="0" w:end="0"/>
              <w:rPr/>
            </w:pPr>
            <w:r>
              <w:rPr/>
              <w:t>Dimensiones (Ancho x Alto x Profundo)</w:t>
            </w:r>
          </w:p>
        </w:tc>
        <w:tc>
          <w:tcPr>
            <w:tcW w:w="3730" w:type="dxa"/>
            <w:tcBorders>
              <w:top w:val="single" w:sz="2" w:space="0" w:color="D9D9E3"/>
              <w:start w:val="single" w:sz="2" w:space="0" w:color="D9D9E3"/>
              <w:bottom w:val="single" w:sz="2" w:space="0" w:color="D9D9E3"/>
              <w:end w:val="single" w:sz="2" w:space="0" w:color="D9D9E3"/>
            </w:tcBorders>
            <w:tcMar>
              <w:start w:w="28" w:type="dxa"/>
              <w:end w:w="28" w:type="dxa"/>
            </w:tcMar>
            <w:vAlign w:val="center"/>
          </w:tcPr>
          <w:p>
            <w:pPr>
              <w:pStyle w:val="Ttulodelatabla"/>
              <w:bidi w:val="0"/>
              <w:ind w:hanging="0" w:start="0" w:end="0"/>
              <w:rPr/>
            </w:pPr>
            <w:r>
              <w:rPr/>
              <w:t>Uso Principal</w:t>
            </w:r>
          </w:p>
        </w:tc>
      </w:tr>
      <w:tr>
        <w:trPr/>
        <w:tc>
          <w:tcPr>
            <w:tcW w:w="2233" w:type="dxa"/>
            <w:tcBorders>
              <w:bottom w:val="single" w:sz="6" w:space="0" w:color="D9D9E3"/>
            </w:tcBorders>
            <w:tcMar>
              <w:top w:w="0" w:type="dxa"/>
            </w:tcMar>
            <w:vAlign w:val="center"/>
          </w:tcPr>
          <w:p>
            <w:pPr>
              <w:pStyle w:val="Contenidodelatabla"/>
              <w:bidi w:val="0"/>
              <w:ind w:hanging="0" w:start="0" w:end="0"/>
              <w:jc w:val="start"/>
              <w:rPr/>
            </w:pPr>
            <w:r>
              <w:rPr/>
              <w:t>ATX (Advanced Technology eXtended)</w:t>
            </w:r>
          </w:p>
        </w:tc>
        <w:tc>
          <w:tcPr>
            <w:tcW w:w="3675" w:type="dxa"/>
            <w:tcBorders>
              <w:bottom w:val="single" w:sz="6" w:space="0" w:color="D9D9E3"/>
            </w:tcBorders>
            <w:tcMar>
              <w:top w:w="0" w:type="dxa"/>
            </w:tcMar>
            <w:vAlign w:val="center"/>
          </w:tcPr>
          <w:p>
            <w:pPr>
              <w:pStyle w:val="Contenidodelatabla"/>
              <w:bidi w:val="0"/>
              <w:ind w:hanging="0" w:start="0" w:end="0"/>
              <w:jc w:val="start"/>
              <w:rPr/>
            </w:pPr>
            <w:r>
              <w:rPr/>
              <w:t>305 mm x 244 mm (12" x 9.6")</w:t>
            </w:r>
          </w:p>
        </w:tc>
        <w:tc>
          <w:tcPr>
            <w:tcW w:w="3730"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Estándar para PCs de escritorio.</w:t>
            </w:r>
          </w:p>
        </w:tc>
      </w:tr>
      <w:tr>
        <w:trPr/>
        <w:tc>
          <w:tcPr>
            <w:tcW w:w="2233" w:type="dxa"/>
            <w:tcBorders>
              <w:bottom w:val="single" w:sz="6" w:space="0" w:color="D9D9E3"/>
            </w:tcBorders>
            <w:tcMar>
              <w:top w:w="0" w:type="dxa"/>
            </w:tcMar>
            <w:vAlign w:val="center"/>
          </w:tcPr>
          <w:p>
            <w:pPr>
              <w:pStyle w:val="Contenidodelatabla"/>
              <w:bidi w:val="0"/>
              <w:ind w:hanging="0" w:start="0" w:end="0"/>
              <w:jc w:val="start"/>
              <w:rPr/>
            </w:pPr>
            <w:r>
              <w:rPr/>
              <w:t>Micro-ATX</w:t>
            </w:r>
          </w:p>
        </w:tc>
        <w:tc>
          <w:tcPr>
            <w:tcW w:w="3675" w:type="dxa"/>
            <w:tcBorders>
              <w:bottom w:val="single" w:sz="6" w:space="0" w:color="D9D9E3"/>
            </w:tcBorders>
            <w:tcMar>
              <w:top w:w="0" w:type="dxa"/>
            </w:tcMar>
            <w:vAlign w:val="center"/>
          </w:tcPr>
          <w:p>
            <w:pPr>
              <w:pStyle w:val="Contenidodelatabla"/>
              <w:bidi w:val="0"/>
              <w:ind w:hanging="0" w:start="0" w:end="0"/>
              <w:jc w:val="start"/>
              <w:rPr/>
            </w:pPr>
            <w:r>
              <w:rPr/>
              <w:t>244 mm x 244 mm (9.6" x 9.6")</w:t>
            </w:r>
          </w:p>
        </w:tc>
        <w:tc>
          <w:tcPr>
            <w:tcW w:w="3730"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Tamaño más pequeño que ATX, común en PCs compactos.</w:t>
            </w:r>
          </w:p>
        </w:tc>
      </w:tr>
      <w:tr>
        <w:trPr/>
        <w:tc>
          <w:tcPr>
            <w:tcW w:w="2233" w:type="dxa"/>
            <w:tcBorders>
              <w:bottom w:val="single" w:sz="6" w:space="0" w:color="D9D9E3"/>
            </w:tcBorders>
            <w:tcMar>
              <w:top w:w="0" w:type="dxa"/>
            </w:tcMar>
            <w:vAlign w:val="center"/>
          </w:tcPr>
          <w:p>
            <w:pPr>
              <w:pStyle w:val="Contenidodelatabla"/>
              <w:bidi w:val="0"/>
              <w:ind w:hanging="0" w:start="0" w:end="0"/>
              <w:jc w:val="start"/>
              <w:rPr/>
            </w:pPr>
            <w:r>
              <w:rPr/>
              <w:t>Mini-ITX</w:t>
            </w:r>
          </w:p>
        </w:tc>
        <w:tc>
          <w:tcPr>
            <w:tcW w:w="3675" w:type="dxa"/>
            <w:tcBorders>
              <w:bottom w:val="single" w:sz="6" w:space="0" w:color="D9D9E3"/>
            </w:tcBorders>
            <w:tcMar>
              <w:top w:w="0" w:type="dxa"/>
            </w:tcMar>
            <w:vAlign w:val="center"/>
          </w:tcPr>
          <w:p>
            <w:pPr>
              <w:pStyle w:val="Contenidodelatabla"/>
              <w:bidi w:val="0"/>
              <w:ind w:hanging="0" w:start="0" w:end="0"/>
              <w:jc w:val="start"/>
              <w:rPr/>
            </w:pPr>
            <w:r>
              <w:rPr/>
              <w:t>170 mm x 170 mm (6.7" x 6.7")</w:t>
            </w:r>
          </w:p>
        </w:tc>
        <w:tc>
          <w:tcPr>
            <w:tcW w:w="3730"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Muy compacto, utilizado en sistemas pequeños y HTPCs.</w:t>
            </w:r>
          </w:p>
        </w:tc>
      </w:tr>
      <w:tr>
        <w:trPr/>
        <w:tc>
          <w:tcPr>
            <w:tcW w:w="2233" w:type="dxa"/>
            <w:tcBorders>
              <w:bottom w:val="single" w:sz="6" w:space="0" w:color="D9D9E3"/>
            </w:tcBorders>
            <w:tcMar>
              <w:top w:w="0" w:type="dxa"/>
            </w:tcMar>
            <w:vAlign w:val="center"/>
          </w:tcPr>
          <w:p>
            <w:pPr>
              <w:pStyle w:val="Contenidodelatabla"/>
              <w:bidi w:val="0"/>
              <w:ind w:hanging="0" w:start="0" w:end="0"/>
              <w:jc w:val="start"/>
              <w:rPr/>
            </w:pPr>
            <w:r>
              <w:rPr/>
              <w:t>E-ATX (Extended ATX)</w:t>
            </w:r>
          </w:p>
        </w:tc>
        <w:tc>
          <w:tcPr>
            <w:tcW w:w="3675" w:type="dxa"/>
            <w:tcBorders>
              <w:bottom w:val="single" w:sz="6" w:space="0" w:color="D9D9E3"/>
            </w:tcBorders>
            <w:tcMar>
              <w:top w:w="0" w:type="dxa"/>
            </w:tcMar>
            <w:vAlign w:val="center"/>
          </w:tcPr>
          <w:p>
            <w:pPr>
              <w:pStyle w:val="Contenidodelatabla"/>
              <w:bidi w:val="0"/>
              <w:ind w:hanging="0" w:start="0" w:end="0"/>
              <w:jc w:val="start"/>
              <w:rPr/>
            </w:pPr>
            <w:r>
              <w:rPr/>
              <w:t>Variante más grande de ATX. Dimensiones pueden variar.</w:t>
            </w:r>
          </w:p>
        </w:tc>
        <w:tc>
          <w:tcPr>
            <w:tcW w:w="3730"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Ofrece más espacio para componentes adicionales.</w:t>
            </w:r>
          </w:p>
        </w:tc>
      </w:tr>
      <w:tr>
        <w:trPr/>
        <w:tc>
          <w:tcPr>
            <w:tcW w:w="2233" w:type="dxa"/>
            <w:tcBorders>
              <w:bottom w:val="single" w:sz="6" w:space="0" w:color="D9D9E3"/>
            </w:tcBorders>
            <w:tcMar>
              <w:top w:w="0" w:type="dxa"/>
            </w:tcMar>
            <w:vAlign w:val="center"/>
          </w:tcPr>
          <w:p>
            <w:pPr>
              <w:pStyle w:val="Contenidodelatabla"/>
              <w:bidi w:val="0"/>
              <w:ind w:hanging="0" w:start="0" w:end="0"/>
              <w:jc w:val="start"/>
              <w:rPr/>
            </w:pPr>
            <w:r>
              <w:rPr/>
              <w:t>ITX (Nano-ITX, Pico-ITX)</w:t>
            </w:r>
          </w:p>
        </w:tc>
        <w:tc>
          <w:tcPr>
            <w:tcW w:w="3675" w:type="dxa"/>
            <w:tcBorders>
              <w:bottom w:val="single" w:sz="6" w:space="0" w:color="D9D9E3"/>
            </w:tcBorders>
            <w:tcMar>
              <w:top w:w="0" w:type="dxa"/>
            </w:tcMar>
            <w:vAlign w:val="center"/>
          </w:tcPr>
          <w:p>
            <w:pPr>
              <w:pStyle w:val="Contenidodelatabla"/>
              <w:bidi w:val="0"/>
              <w:ind w:hanging="0" w:start="0" w:end="0"/>
              <w:jc w:val="start"/>
              <w:rPr/>
            </w:pPr>
            <w:r>
              <w:rPr/>
              <w:t>Variedades más pequeñas de Mini-ITX, utilizadas en sistemas ultra compactos.</w:t>
            </w:r>
          </w:p>
        </w:tc>
        <w:tc>
          <w:tcPr>
            <w:tcW w:w="3730"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Aplicaciones especializadas y sistemas embebidos.</w:t>
            </w:r>
          </w:p>
        </w:tc>
      </w:tr>
      <w:tr>
        <w:trPr/>
        <w:tc>
          <w:tcPr>
            <w:tcW w:w="2233" w:type="dxa"/>
            <w:tcBorders>
              <w:bottom w:val="single" w:sz="6" w:space="0" w:color="D9D9E3"/>
            </w:tcBorders>
            <w:tcMar>
              <w:top w:w="0" w:type="dxa"/>
            </w:tcMar>
            <w:vAlign w:val="center"/>
          </w:tcPr>
          <w:p>
            <w:pPr>
              <w:pStyle w:val="Contenidodelatabla"/>
              <w:bidi w:val="0"/>
              <w:ind w:hanging="0" w:start="0" w:end="0"/>
              <w:jc w:val="start"/>
              <w:rPr/>
            </w:pPr>
            <w:r>
              <w:rPr/>
              <w:t>Flex-ATX</w:t>
            </w:r>
          </w:p>
        </w:tc>
        <w:tc>
          <w:tcPr>
            <w:tcW w:w="3675" w:type="dxa"/>
            <w:tcBorders>
              <w:bottom w:val="single" w:sz="6" w:space="0" w:color="D9D9E3"/>
            </w:tcBorders>
            <w:tcMar>
              <w:top w:w="0" w:type="dxa"/>
            </w:tcMar>
            <w:vAlign w:val="center"/>
          </w:tcPr>
          <w:p>
            <w:pPr>
              <w:pStyle w:val="Contenidodelatabla"/>
              <w:bidi w:val="0"/>
              <w:ind w:hanging="0" w:start="0" w:end="0"/>
              <w:jc w:val="start"/>
              <w:rPr/>
            </w:pPr>
            <w:r>
              <w:rPr/>
              <w:t>229 mm x 191 mm (9" x 7.5")</w:t>
            </w:r>
          </w:p>
        </w:tc>
        <w:tc>
          <w:tcPr>
            <w:tcW w:w="3730"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Diseñado para ser flexible en su orientación, utilizado en sistemas compactos.</w:t>
            </w:r>
          </w:p>
        </w:tc>
      </w:tr>
      <w:tr>
        <w:trPr/>
        <w:tc>
          <w:tcPr>
            <w:tcW w:w="2233" w:type="dxa"/>
            <w:tcBorders>
              <w:bottom w:val="single" w:sz="6" w:space="0" w:color="D9D9E3"/>
            </w:tcBorders>
            <w:tcMar>
              <w:top w:w="0" w:type="dxa"/>
            </w:tcMar>
            <w:vAlign w:val="center"/>
          </w:tcPr>
          <w:p>
            <w:pPr>
              <w:pStyle w:val="Contenidodelatabla"/>
              <w:bidi w:val="0"/>
              <w:ind w:hanging="0" w:start="0" w:end="0"/>
              <w:jc w:val="start"/>
              <w:rPr/>
            </w:pPr>
            <w:r>
              <w:rPr/>
              <w:t>XL-ATX</w:t>
            </w:r>
          </w:p>
        </w:tc>
        <w:tc>
          <w:tcPr>
            <w:tcW w:w="3675" w:type="dxa"/>
            <w:tcBorders>
              <w:bottom w:val="single" w:sz="6" w:space="0" w:color="D9D9E3"/>
            </w:tcBorders>
            <w:tcMar>
              <w:top w:w="0" w:type="dxa"/>
            </w:tcMar>
            <w:vAlign w:val="center"/>
          </w:tcPr>
          <w:p>
            <w:pPr>
              <w:pStyle w:val="Contenidodelatabla"/>
              <w:bidi w:val="0"/>
              <w:ind w:hanging="0" w:start="0" w:end="0"/>
              <w:jc w:val="start"/>
              <w:rPr/>
            </w:pPr>
            <w:r>
              <w:rPr/>
              <w:t>Variante más grande de E-ATX. Dimensiones pueden variar.</w:t>
            </w:r>
          </w:p>
        </w:tc>
        <w:tc>
          <w:tcPr>
            <w:tcW w:w="3730"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Ofrece aún más espacio que E-ATX.</w:t>
            </w:r>
          </w:p>
        </w:tc>
      </w:tr>
      <w:tr>
        <w:trPr/>
        <w:tc>
          <w:tcPr>
            <w:tcW w:w="2233" w:type="dxa"/>
            <w:tcBorders>
              <w:bottom w:val="single" w:sz="6" w:space="0" w:color="D9D9E3"/>
            </w:tcBorders>
            <w:tcMar>
              <w:top w:w="0" w:type="dxa"/>
            </w:tcMar>
            <w:vAlign w:val="center"/>
          </w:tcPr>
          <w:p>
            <w:pPr>
              <w:pStyle w:val="Contenidodelatabla"/>
              <w:bidi w:val="0"/>
              <w:ind w:hanging="0" w:start="0" w:end="0"/>
              <w:jc w:val="start"/>
              <w:rPr/>
            </w:pPr>
            <w:r>
              <w:rPr/>
              <w:t>SFF (Small Form Factor)</w:t>
            </w:r>
          </w:p>
        </w:tc>
        <w:tc>
          <w:tcPr>
            <w:tcW w:w="3675" w:type="dxa"/>
            <w:tcBorders>
              <w:bottom w:val="single" w:sz="6" w:space="0" w:color="D9D9E3"/>
            </w:tcBorders>
            <w:tcMar>
              <w:top w:w="0" w:type="dxa"/>
            </w:tcMar>
            <w:vAlign w:val="center"/>
          </w:tcPr>
          <w:p>
            <w:pPr>
              <w:pStyle w:val="Contenidodelatabla"/>
              <w:bidi w:val="0"/>
              <w:ind w:hanging="0" w:start="0" w:end="0"/>
              <w:jc w:val="start"/>
              <w:rPr/>
            </w:pPr>
            <w:r>
              <w:rPr/>
              <w:t>Término genérico para cajas compactas. No tiene dimensiones específicas.</w:t>
            </w:r>
          </w:p>
        </w:tc>
        <w:tc>
          <w:tcPr>
            <w:tcW w:w="3730" w:type="dxa"/>
            <w:tcBorders>
              <w:bottom w:val="single" w:sz="6" w:space="0" w:color="D9D9E3"/>
              <w:end w:val="single" w:sz="6" w:space="0" w:color="D9D9E3"/>
            </w:tcBorders>
            <w:tcMar>
              <w:top w:w="0" w:type="dxa"/>
              <w:end w:w="28" w:type="dxa"/>
            </w:tcMar>
            <w:vAlign w:val="center"/>
          </w:tcPr>
          <w:p>
            <w:pPr>
              <w:pStyle w:val="Contenidodelatabla"/>
              <w:widowControl w:val="false"/>
              <w:suppressLineNumbers/>
              <w:bidi w:val="0"/>
              <w:jc w:val="start"/>
              <w:rPr/>
            </w:pPr>
            <w:r>
              <w:rPr/>
              <w:t>Se refiere a sistemas más pequeños y compactos.</w:t>
            </w:r>
          </w:p>
        </w:tc>
      </w:tr>
    </w:tbl>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Estos tamaños de cajas están estandarizados para facilitar la compatibilidad entre los componentes y la selección de carcasas que se ajusten a las necesidades y preferencias de los usuarios. Es importante tener en cuenta que las dimensiones exactas pueden variar entre fabricantes y modelos específicos dentro de cada factor de forma.</w:t>
      </w:r>
    </w:p>
    <w:p>
      <w:pPr>
        <w:pStyle w:val="BodyText"/>
        <w:bidi w:val="0"/>
        <w:spacing w:before="0" w:after="0"/>
        <w:ind w:hanging="0" w:start="0" w:end="0"/>
        <w:jc w:val="start"/>
        <w:rPr>
          <w:bdr w:val="single" w:sz="2" w:space="1" w:color="D9D9E3"/>
        </w:rPr>
      </w:pPr>
      <w:r>
        <w:rPr>
          <w:bdr w:val="single" w:sz="2" w:space="1" w:color="D9D9E3"/>
        </w:rPr>
        <w:drawing>
          <wp:inline distT="0" distB="0" distL="0" distR="0">
            <wp:extent cx="228600" cy="228600"/>
            <wp:effectExtent l="0" t="0" r="0" b="0"/>
            <wp:docPr id="6" name="Imagen6"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title="User"/>
                    <pic:cNvPicPr>
                      <a:picLocks noChangeAspect="1" noChangeArrowheads="1"/>
                    </pic:cNvPicPr>
                  </pic:nvPicPr>
                  <pic:blipFill>
                    <a:blip r:embed="rId7"/>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bidi w:val="0"/>
        <w:spacing w:before="0" w:after="0"/>
        <w:ind w:hanging="0" w:start="0" w:end="0"/>
        <w:jc w:val="start"/>
        <w:rPr>
          <w:bdr w:val="single" w:sz="2" w:space="1" w:color="D9D9E3"/>
        </w:rPr>
      </w:pPr>
      <w:r>
        <w:rPr>
          <w:bdr w:val="single" w:sz="2" w:space="1" w:color="D9D9E3"/>
        </w:rPr>
        <w:t>Tú</w:t>
      </w:r>
    </w:p>
    <w:p>
      <w:pPr>
        <w:pStyle w:val="BodyText"/>
        <w:bidi w:val="0"/>
        <w:spacing w:before="0" w:after="0"/>
        <w:ind w:hanging="0" w:start="0" w:end="0"/>
        <w:jc w:val="start"/>
        <w:rPr>
          <w:bdr w:val="single" w:sz="2" w:space="1" w:color="D9D9E3"/>
        </w:rPr>
      </w:pPr>
      <w:r>
        <w:rPr>
          <w:bdr w:val="single" w:sz="2" w:space="1" w:color="D9D9E3"/>
        </w:rPr>
        <w:t>Relaciona la tabla anterior con elformato de las placas base</w:t>
      </w:r>
    </w:p>
    <w:p>
      <w:pPr>
        <w:pStyle w:val="BodyText"/>
        <w:bidi w:val="0"/>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Aquí hay una relación entre los tamaños estandarizados de las cajas de PC y los factores de forma de las placas base más comunes:</w:t>
      </w:r>
    </w:p>
    <w:tbl>
      <w:tblPr>
        <w:tblW w:w="9638" w:type="dxa"/>
        <w:jc w:val="start"/>
        <w:tblInd w:w="0" w:type="dxa"/>
        <w:tblLayout w:type="fixed"/>
        <w:tblCellMar>
          <w:top w:w="28" w:type="dxa"/>
          <w:start w:w="0" w:type="dxa"/>
          <w:bottom w:w="28" w:type="dxa"/>
          <w:end w:w="0" w:type="dxa"/>
        </w:tblCellMar>
      </w:tblPr>
      <w:tblGrid>
        <w:gridCol w:w="2664"/>
        <w:gridCol w:w="6974"/>
      </w:tblGrid>
      <w:tr>
        <w:trPr>
          <w:tblHeader w:val="true"/>
        </w:trPr>
        <w:tc>
          <w:tcPr>
            <w:tcW w:w="2664" w:type="dxa"/>
            <w:tcBorders>
              <w:top w:val="single" w:sz="6" w:space="0" w:color="D9D9E3"/>
              <w:bottom w:val="single" w:sz="6" w:space="0" w:color="D9D9E3"/>
            </w:tcBorders>
            <w:vAlign w:val="center"/>
          </w:tcPr>
          <w:p>
            <w:pPr>
              <w:pStyle w:val="Ttulodelatabla"/>
              <w:bidi w:val="0"/>
              <w:ind w:hanging="0" w:start="0" w:end="0"/>
              <w:rPr/>
            </w:pPr>
            <w:r>
              <w:rPr/>
              <w:t>Factor de Forma de la Placa Base</w:t>
            </w:r>
          </w:p>
        </w:tc>
        <w:tc>
          <w:tcPr>
            <w:tcW w:w="6974" w:type="dxa"/>
            <w:tcBorders>
              <w:top w:val="single" w:sz="2" w:space="0" w:color="D9D9E3"/>
              <w:start w:val="single" w:sz="2" w:space="0" w:color="D9D9E3"/>
              <w:bottom w:val="single" w:sz="2" w:space="0" w:color="D9D9E3"/>
              <w:end w:val="single" w:sz="2" w:space="0" w:color="D9D9E3"/>
            </w:tcBorders>
            <w:tcMar>
              <w:start w:w="28" w:type="dxa"/>
              <w:end w:w="28" w:type="dxa"/>
            </w:tcMar>
            <w:vAlign w:val="center"/>
          </w:tcPr>
          <w:p>
            <w:pPr>
              <w:pStyle w:val="Ttulodelatabla"/>
              <w:bidi w:val="0"/>
              <w:ind w:hanging="0" w:start="0" w:end="0"/>
              <w:rPr/>
            </w:pPr>
            <w:r>
              <w:rPr/>
              <w:t>Tamaño Estándar de la Caja</w:t>
            </w:r>
          </w:p>
        </w:tc>
      </w:tr>
      <w:tr>
        <w:trPr/>
        <w:tc>
          <w:tcPr>
            <w:tcW w:w="2664" w:type="dxa"/>
            <w:tcBorders>
              <w:bottom w:val="single" w:sz="6" w:space="0" w:color="D9D9E3"/>
            </w:tcBorders>
            <w:tcMar>
              <w:top w:w="0" w:type="dxa"/>
            </w:tcMar>
            <w:vAlign w:val="center"/>
          </w:tcPr>
          <w:p>
            <w:pPr>
              <w:pStyle w:val="Contenidodelatabla"/>
              <w:bidi w:val="0"/>
              <w:ind w:hanging="0" w:start="0" w:end="0"/>
              <w:jc w:val="start"/>
              <w:rPr/>
            </w:pPr>
            <w:r>
              <w:rPr/>
              <w:t>ATX (Advanced Technology eXtended)</w:t>
            </w:r>
          </w:p>
        </w:tc>
        <w:tc>
          <w:tcPr>
            <w:tcW w:w="6974"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ATX, Micro-ATX, E-ATX, XL-ATX</w:t>
            </w:r>
          </w:p>
        </w:tc>
      </w:tr>
      <w:tr>
        <w:trPr/>
        <w:tc>
          <w:tcPr>
            <w:tcW w:w="2664" w:type="dxa"/>
            <w:tcBorders>
              <w:bottom w:val="single" w:sz="6" w:space="0" w:color="D9D9E3"/>
            </w:tcBorders>
            <w:tcMar>
              <w:top w:w="0" w:type="dxa"/>
            </w:tcMar>
            <w:vAlign w:val="center"/>
          </w:tcPr>
          <w:p>
            <w:pPr>
              <w:pStyle w:val="Contenidodelatabla"/>
              <w:bidi w:val="0"/>
              <w:ind w:hanging="0" w:start="0" w:end="0"/>
              <w:jc w:val="start"/>
              <w:rPr/>
            </w:pPr>
            <w:r>
              <w:rPr/>
              <w:t>Micro-ATX</w:t>
            </w:r>
          </w:p>
        </w:tc>
        <w:tc>
          <w:tcPr>
            <w:tcW w:w="6974"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Micro-ATX, ATX, Mini-ITX, Flex-ATX</w:t>
            </w:r>
          </w:p>
        </w:tc>
      </w:tr>
      <w:tr>
        <w:trPr/>
        <w:tc>
          <w:tcPr>
            <w:tcW w:w="2664" w:type="dxa"/>
            <w:tcBorders>
              <w:bottom w:val="single" w:sz="6" w:space="0" w:color="D9D9E3"/>
            </w:tcBorders>
            <w:tcMar>
              <w:top w:w="0" w:type="dxa"/>
            </w:tcMar>
            <w:vAlign w:val="center"/>
          </w:tcPr>
          <w:p>
            <w:pPr>
              <w:pStyle w:val="Contenidodelatabla"/>
              <w:bidi w:val="0"/>
              <w:ind w:hanging="0" w:start="0" w:end="0"/>
              <w:jc w:val="start"/>
              <w:rPr/>
            </w:pPr>
            <w:r>
              <w:rPr/>
              <w:t>Mini-ITX</w:t>
            </w:r>
          </w:p>
        </w:tc>
        <w:tc>
          <w:tcPr>
            <w:tcW w:w="6974"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Mini-ITX, Micro-ATX, ATX, Flex-ATX</w:t>
            </w:r>
          </w:p>
        </w:tc>
      </w:tr>
      <w:tr>
        <w:trPr/>
        <w:tc>
          <w:tcPr>
            <w:tcW w:w="2664" w:type="dxa"/>
            <w:tcBorders>
              <w:bottom w:val="single" w:sz="6" w:space="0" w:color="D9D9E3"/>
            </w:tcBorders>
            <w:tcMar>
              <w:top w:w="0" w:type="dxa"/>
            </w:tcMar>
            <w:vAlign w:val="center"/>
          </w:tcPr>
          <w:p>
            <w:pPr>
              <w:pStyle w:val="Contenidodelatabla"/>
              <w:bidi w:val="0"/>
              <w:ind w:hanging="0" w:start="0" w:end="0"/>
              <w:jc w:val="start"/>
              <w:rPr/>
            </w:pPr>
            <w:r>
              <w:rPr/>
              <w:t>E-ATX (Extended ATX)</w:t>
            </w:r>
          </w:p>
        </w:tc>
        <w:tc>
          <w:tcPr>
            <w:tcW w:w="6974"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E-ATX, ATX, XL-ATX</w:t>
            </w:r>
          </w:p>
        </w:tc>
      </w:tr>
      <w:tr>
        <w:trPr/>
        <w:tc>
          <w:tcPr>
            <w:tcW w:w="2664" w:type="dxa"/>
            <w:tcBorders>
              <w:bottom w:val="single" w:sz="6" w:space="0" w:color="D9D9E3"/>
            </w:tcBorders>
            <w:tcMar>
              <w:top w:w="0" w:type="dxa"/>
            </w:tcMar>
            <w:vAlign w:val="center"/>
          </w:tcPr>
          <w:p>
            <w:pPr>
              <w:pStyle w:val="Contenidodelatabla"/>
              <w:bidi w:val="0"/>
              <w:ind w:hanging="0" w:start="0" w:end="0"/>
              <w:jc w:val="start"/>
              <w:rPr/>
            </w:pPr>
            <w:r>
              <w:rPr/>
              <w:t>ITX (Nano-ITX, Pico-ITX)</w:t>
            </w:r>
          </w:p>
        </w:tc>
        <w:tc>
          <w:tcPr>
            <w:tcW w:w="6974"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Mini-ITX, ITX</w:t>
            </w:r>
          </w:p>
        </w:tc>
      </w:tr>
      <w:tr>
        <w:trPr/>
        <w:tc>
          <w:tcPr>
            <w:tcW w:w="2664" w:type="dxa"/>
            <w:tcBorders>
              <w:bottom w:val="single" w:sz="6" w:space="0" w:color="D9D9E3"/>
            </w:tcBorders>
            <w:tcMar>
              <w:top w:w="0" w:type="dxa"/>
            </w:tcMar>
            <w:vAlign w:val="center"/>
          </w:tcPr>
          <w:p>
            <w:pPr>
              <w:pStyle w:val="Contenidodelatabla"/>
              <w:bidi w:val="0"/>
              <w:ind w:hanging="0" w:start="0" w:end="0"/>
              <w:jc w:val="start"/>
              <w:rPr/>
            </w:pPr>
            <w:r>
              <w:rPr/>
              <w:t>Flex-ATX</w:t>
            </w:r>
          </w:p>
        </w:tc>
        <w:tc>
          <w:tcPr>
            <w:tcW w:w="6974"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Flex-ATX, Micro-ATX, Mini-ITX, ATX</w:t>
            </w:r>
          </w:p>
        </w:tc>
      </w:tr>
      <w:tr>
        <w:trPr/>
        <w:tc>
          <w:tcPr>
            <w:tcW w:w="2664" w:type="dxa"/>
            <w:tcBorders>
              <w:bottom w:val="single" w:sz="6" w:space="0" w:color="D9D9E3"/>
            </w:tcBorders>
            <w:tcMar>
              <w:top w:w="0" w:type="dxa"/>
            </w:tcMar>
            <w:vAlign w:val="center"/>
          </w:tcPr>
          <w:p>
            <w:pPr>
              <w:pStyle w:val="Contenidodelatabla"/>
              <w:bidi w:val="0"/>
              <w:ind w:hanging="0" w:start="0" w:end="0"/>
              <w:jc w:val="start"/>
              <w:rPr/>
            </w:pPr>
            <w:r>
              <w:rPr/>
              <w:t>XL-ATX</w:t>
            </w:r>
          </w:p>
        </w:tc>
        <w:tc>
          <w:tcPr>
            <w:tcW w:w="6974" w:type="dxa"/>
            <w:tcBorders>
              <w:bottom w:val="single" w:sz="6" w:space="0" w:color="D9D9E3"/>
              <w:end w:val="single" w:sz="6" w:space="0" w:color="D9D9E3"/>
            </w:tcBorders>
            <w:tcMar>
              <w:top w:w="0" w:type="dxa"/>
              <w:end w:w="28" w:type="dxa"/>
            </w:tcMar>
            <w:vAlign w:val="center"/>
          </w:tcPr>
          <w:p>
            <w:pPr>
              <w:pStyle w:val="Contenidodelatabla"/>
              <w:bidi w:val="0"/>
              <w:ind w:hanging="0" w:start="0" w:end="0"/>
              <w:jc w:val="start"/>
              <w:rPr/>
            </w:pPr>
            <w:r>
              <w:rPr/>
              <w:t>XL-ATX, E-ATX, ATX</w:t>
            </w:r>
          </w:p>
        </w:tc>
      </w:tr>
      <w:tr>
        <w:trPr/>
        <w:tc>
          <w:tcPr>
            <w:tcW w:w="2664" w:type="dxa"/>
            <w:tcBorders>
              <w:bottom w:val="single" w:sz="6" w:space="0" w:color="D9D9E3"/>
            </w:tcBorders>
            <w:tcMar>
              <w:top w:w="0" w:type="dxa"/>
            </w:tcMar>
            <w:vAlign w:val="center"/>
          </w:tcPr>
          <w:p>
            <w:pPr>
              <w:pStyle w:val="Contenidodelatabla"/>
              <w:bidi w:val="0"/>
              <w:ind w:hanging="0" w:start="0" w:end="0"/>
              <w:jc w:val="start"/>
              <w:rPr/>
            </w:pPr>
            <w:r>
              <w:rPr/>
              <w:t>SFF (Small Form Factor)</w:t>
            </w:r>
          </w:p>
        </w:tc>
        <w:tc>
          <w:tcPr>
            <w:tcW w:w="6974" w:type="dxa"/>
            <w:tcBorders>
              <w:bottom w:val="single" w:sz="6" w:space="0" w:color="D9D9E3"/>
              <w:end w:val="single" w:sz="6" w:space="0" w:color="D9D9E3"/>
            </w:tcBorders>
            <w:tcMar>
              <w:top w:w="0" w:type="dxa"/>
              <w:end w:w="28" w:type="dxa"/>
            </w:tcMar>
            <w:vAlign w:val="center"/>
          </w:tcPr>
          <w:p>
            <w:pPr>
              <w:pStyle w:val="Contenidodelatabla"/>
              <w:widowControl w:val="false"/>
              <w:suppressLineNumbers/>
              <w:bidi w:val="0"/>
              <w:jc w:val="start"/>
              <w:rPr/>
            </w:pPr>
            <w:r>
              <w:rPr/>
              <w:t>Puede variar según el subtipo de SFF; generalmente compatible con Mini-ITX, Micro-ATX, o incluso ATX en algunos casos</w:t>
            </w:r>
          </w:p>
        </w:tc>
      </w:tr>
    </w:tbl>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Es importante tener en cuenta que aunque existe cierta flexibilidad en la compatibilidad entre cajas y placas base, algunos factores de forma específicos están diseñados para funcionar mejor juntos. Por ejemplo, una placa base ATX generalmente se adapta mejor a una caja ATX, mientras que una placa Mini-ITX se adapta mejor a una caja Mini-ITX. Sin embargo, algunos casos pueden admitir múltiples tamaños de placas base, ofreciendo mayor flexibilidad a los constructores de PC.</w:t>
      </w:r>
    </w:p>
    <w:p>
      <w:pPr>
        <w:pStyle w:val="BodyText"/>
        <w:bidi w:val="0"/>
        <w:spacing w:before="0" w:after="0"/>
        <w:ind w:hanging="0" w:start="0" w:end="0"/>
        <w:jc w:val="start"/>
        <w:rPr>
          <w:bdr w:val="single" w:sz="2" w:space="1" w:color="D9D9E3"/>
        </w:rPr>
      </w:pPr>
      <w:r>
        <w:rPr>
          <w:bdr w:val="single" w:sz="2" w:space="1" w:color="D9D9E3"/>
        </w:rPr>
        <w:drawing>
          <wp:inline distT="0" distB="0" distL="0" distR="0">
            <wp:extent cx="228600" cy="228600"/>
            <wp:effectExtent l="0" t="0" r="0" b="0"/>
            <wp:docPr id="7" name="Imagen7"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title="User"/>
                    <pic:cNvPicPr>
                      <a:picLocks noChangeAspect="1" noChangeArrowheads="1"/>
                    </pic:cNvPicPr>
                  </pic:nvPicPr>
                  <pic:blipFill>
                    <a:blip r:embed="rId8"/>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bidi w:val="0"/>
        <w:spacing w:before="0" w:after="0"/>
        <w:ind w:hanging="0" w:start="0" w:end="0"/>
        <w:jc w:val="start"/>
        <w:rPr>
          <w:bdr w:val="single" w:sz="2" w:space="1" w:color="D9D9E3"/>
        </w:rPr>
      </w:pPr>
      <w:r>
        <w:rPr>
          <w:bdr w:val="single" w:sz="2" w:space="1" w:color="D9D9E3"/>
        </w:rPr>
        <w:t>Tú</w:t>
      </w:r>
    </w:p>
    <w:p>
      <w:pPr>
        <w:pStyle w:val="BodyText"/>
        <w:bidi w:val="0"/>
        <w:spacing w:before="0" w:after="0"/>
        <w:ind w:hanging="0" w:start="0" w:end="0"/>
        <w:jc w:val="start"/>
        <w:rPr>
          <w:bdr w:val="single" w:sz="2" w:space="1" w:color="D9D9E3"/>
        </w:rPr>
      </w:pPr>
      <w:r>
        <w:rPr>
          <w:bdr w:val="single" w:sz="2" w:space="1" w:color="D9D9E3"/>
        </w:rPr>
        <w:t>Señala los tipos de zócalos de procesador. ¿quéfabricantes suelen incorporarlos y de qué tipo? ¿Han usado zócalos (formatos comunes) los diferentes fabricantes? (centrémonos en AMD e INTEL)</w:t>
      </w:r>
    </w:p>
    <w:p>
      <w:pPr>
        <w:pStyle w:val="BodyText"/>
        <w:bidi w:val="0"/>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Los zócalos de procesador son interfaces físicas en la placa madre que permiten la conexión de los procesadores. Tanto AMD como Intel utilizan diversos zócalos para sus procesadores, y a lo largo del tiempo han introducido diferentes formatos. Aquí hay una lista de algunos de los zócalos de procesador más comunes utilizados por AMD e Intel:</w:t>
      </w:r>
    </w:p>
    <w:p>
      <w:pPr>
        <w:pStyle w:val="Heading3"/>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Intel:</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LGA 1200 (Socket H5):</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Utilizado en procesadores de las series Intel Core de 10ª y 11ª generación.</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LGA 1151 (Socket H4):</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Utilizado en procesadores de las series Intel Core de 6ª, 7ª, 8ª y 9ª generación.</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LGA 2066:</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Diseñado para procesadores de alto rendimiento, como la serie Intel Core X.</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LGA 1700:</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hanging="283" w:start="1418" w:end="0"/>
        <w:jc w:val="start"/>
        <w:rPr>
          <w:bdr w:val="single" w:sz="2" w:space="1" w:color="D9D9E3"/>
        </w:rPr>
      </w:pPr>
      <w:r>
        <w:rPr>
          <w:bdr w:val="single" w:sz="2" w:space="1" w:color="D9D9E3"/>
        </w:rPr>
        <w:t>Introducido con la serie Intel Core de 12ª generación.</w:t>
      </w:r>
    </w:p>
    <w:p>
      <w:pPr>
        <w:pStyle w:val="Heading3"/>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AMD:</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AM4:</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Utilizado en una amplia gama de procesadores AMD, incluyendo las series Ryzen, Ryzen Pro, y Athlon.</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TR4 (Threadripper):</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Diseñado para procesadores de gama alta, como los AMD Ryzen Threadripper.</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sTRX4 (Threadripper):</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Introducido para la serie AMD Ryzen Threadripper de tercera generación.</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FM2+ y AM3+:</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hanging="283" w:start="1418" w:end="0"/>
        <w:jc w:val="start"/>
        <w:rPr>
          <w:bdr w:val="single" w:sz="2" w:space="1" w:color="D9D9E3"/>
        </w:rPr>
      </w:pPr>
      <w:r>
        <w:rPr>
          <w:bdr w:val="single" w:sz="2" w:space="1" w:color="D9D9E3"/>
        </w:rPr>
        <w:t>Utilizados en generaciones anteriores de procesadores AMD, como los de las series AMD FX y A-Series.</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Es importante señalar que tanto AMD como Intel han utilizado varios zócalos a lo largo de los años, y la compatibilidad entre los procesadores y las placas base a menudo depende del zócalo. Al seleccionar una placa madre y un procesador, es crucial asegurarse de que el zócalo del procesador coincida con el zócalo de la placa madre.</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Ambos fabricantes han tendido a cambiar los zócalos con el tiempo para acomodar nuevas tecnologías, mejoras de rendimiento y cambios en la arquitectura de los procesadores. Por ejemplo, AMD ha mantenido la continuidad en el zócalo AM4 para varias generaciones, lo que facilita la actualización de procesadores sin cambiar la placa madre. Sin embargo, estos estándares pueden cambiar en futuras generaciones.</w:t>
      </w:r>
    </w:p>
    <w:p>
      <w:pPr>
        <w:pStyle w:val="BodyText"/>
        <w:bidi w:val="0"/>
        <w:spacing w:before="0" w:after="0"/>
        <w:ind w:hanging="0" w:start="0" w:end="0"/>
        <w:jc w:val="start"/>
        <w:rPr>
          <w:bdr w:val="single" w:sz="2" w:space="1" w:color="D9D9E3"/>
        </w:rPr>
      </w:pPr>
      <w:r>
        <w:rPr>
          <w:bdr w:val="single" w:sz="2" w:space="1" w:color="D9D9E3"/>
        </w:rPr>
        <w:drawing>
          <wp:inline distT="0" distB="0" distL="0" distR="0">
            <wp:extent cx="228600" cy="228600"/>
            <wp:effectExtent l="0" t="0" r="0" b="0"/>
            <wp:docPr id="8" name="Imagen8"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title="User"/>
                    <pic:cNvPicPr>
                      <a:picLocks noChangeAspect="1" noChangeArrowheads="1"/>
                    </pic:cNvPicPr>
                  </pic:nvPicPr>
                  <pic:blipFill>
                    <a:blip r:embed="rId9"/>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bidi w:val="0"/>
        <w:spacing w:before="0" w:after="0"/>
        <w:ind w:hanging="0" w:start="0" w:end="0"/>
        <w:jc w:val="start"/>
        <w:rPr>
          <w:bdr w:val="single" w:sz="2" w:space="1" w:color="D9D9E3"/>
        </w:rPr>
      </w:pPr>
      <w:r>
        <w:rPr>
          <w:bdr w:val="single" w:sz="2" w:space="1" w:color="D9D9E3"/>
        </w:rPr>
        <w:t>Tú</w:t>
      </w:r>
    </w:p>
    <w:p>
      <w:pPr>
        <w:pStyle w:val="BodyText"/>
        <w:bidi w:val="0"/>
        <w:spacing w:before="0" w:after="0"/>
        <w:ind w:hanging="0" w:start="0" w:end="0"/>
        <w:jc w:val="start"/>
        <w:rPr>
          <w:bdr w:val="single" w:sz="2" w:space="1" w:color="D9D9E3"/>
        </w:rPr>
      </w:pPr>
      <w:r>
        <w:rPr>
          <w:bdr w:val="single" w:sz="2" w:space="1" w:color="D9D9E3"/>
        </w:rPr>
        <w:t>Está bien pero no has explicado qué es LGA y PGA</w:t>
      </w:r>
    </w:p>
    <w:p>
      <w:pPr>
        <w:pStyle w:val="BodyText"/>
        <w:bidi w:val="0"/>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Mis disculpas por la omisión. Aquí está una explicación de los términos LGA y PGA:</w:t>
      </w:r>
    </w:p>
    <w:p>
      <w:pPr>
        <w:pStyle w:val="Heading3"/>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LGA (Land Grid Array):</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pPr>
      <w:r>
        <w:rPr>
          <w:rStyle w:val="Strong"/>
        </w:rPr>
        <w:t>Definición:</w:t>
      </w:r>
      <w:r>
        <w:rPr/>
        <w:t xml:space="preserve"> LGA, que significa "Land Grid Array" (en español, Conjunto de Pines en la Rejilla), es un tipo de diseño de zócalo en el que los pines del procesador están en la placa madre en lugar de en el propio procesador. En un zócalo LGA, hay contactos de metal en la placa madre y almohadillas de contacto en el procesador que se alinean cuando el procesador se coloca en el zócalo.</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pPr>
      <w:r>
        <w:rPr>
          <w:rStyle w:val="Strong"/>
        </w:rPr>
        <w:t>Ejemplo de fabricante que lo utiliza:</w:t>
      </w:r>
      <w:r>
        <w:rPr/>
        <w:t xml:space="preserve"> Intel ha sido un usuario frecuente del diseño LGA para sus procesadores, como se evidencia en los zócalos LGA 1200, LGA 1151, LGA 2066, entre otros.</w:t>
      </w:r>
    </w:p>
    <w:p>
      <w:pPr>
        <w:pStyle w:val="Heading3"/>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PGA (Pin Grid Array):</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pPr>
      <w:r>
        <w:rPr>
          <w:rStyle w:val="Strong"/>
        </w:rPr>
        <w:t>Definición:</w:t>
      </w:r>
      <w:r>
        <w:rPr/>
        <w:t xml:space="preserve"> PGA, que significa "Pin Grid Array" (en español, Conjunto de Pines en la Rejilla), es un diseño de zócalo en el que los pines están en el propio procesador. Estos pines se insertan en orificios en el zócalo de la placa madre. En este caso, la interconexión se realiza a través de los pines que entran en contacto con los orificios correspondientes en el zócalo.</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pPr>
      <w:r>
        <w:rPr>
          <w:rStyle w:val="Strong"/>
        </w:rPr>
        <w:t>Ejemplo de fabricante que lo utiliza:</w:t>
      </w:r>
      <w:r>
        <w:rPr/>
        <w:t xml:space="preserve"> AMD ha utilizado el diseño PGA para sus procesadores, como se evidencia en el zócalo AM4 utilizado en las series Ryzen y otros modelos.</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Ambos diseños, LGA y PGA, cumplen la misma función: proporcionar una interfaz física entre el procesador y la placa madre. La elección entre uno u otro depende de la preferencia del fabricante y de consideraciones de diseño específicas. En la práctica, los usuarios finales suelen seleccionar sus procesadores y placas base según el zócalo específico, independientemente de si es LGA o PGA.</w:t>
      </w:r>
    </w:p>
    <w:p>
      <w:pPr>
        <w:pStyle w:val="BodyText"/>
        <w:bidi w:val="0"/>
        <w:spacing w:before="0" w:after="0"/>
        <w:ind w:hanging="0" w:start="0" w:end="0"/>
        <w:jc w:val="start"/>
        <w:rPr>
          <w:bdr w:val="single" w:sz="2" w:space="1" w:color="D9D9E3"/>
        </w:rPr>
      </w:pPr>
      <w:r>
        <w:rPr>
          <w:bdr w:val="single" w:sz="2" w:space="1" w:color="D9D9E3"/>
        </w:rPr>
        <w:drawing>
          <wp:inline distT="0" distB="0" distL="0" distR="0">
            <wp:extent cx="228600" cy="228600"/>
            <wp:effectExtent l="0" t="0" r="0" b="0"/>
            <wp:docPr id="9" name="Imagen9"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title="User"/>
                    <pic:cNvPicPr>
                      <a:picLocks noChangeAspect="1" noChangeArrowheads="1"/>
                    </pic:cNvPicPr>
                  </pic:nvPicPr>
                  <pic:blipFill>
                    <a:blip r:embed="rId10"/>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bidi w:val="0"/>
        <w:spacing w:before="0" w:after="0"/>
        <w:ind w:hanging="0" w:start="0" w:end="0"/>
        <w:jc w:val="start"/>
        <w:rPr>
          <w:bdr w:val="single" w:sz="2" w:space="1" w:color="D9D9E3"/>
        </w:rPr>
      </w:pPr>
      <w:r>
        <w:rPr>
          <w:bdr w:val="single" w:sz="2" w:space="1" w:color="D9D9E3"/>
        </w:rPr>
        <w:t>Tú</w:t>
      </w:r>
    </w:p>
    <w:p>
      <w:pPr>
        <w:pStyle w:val="BodyText"/>
        <w:bidi w:val="0"/>
        <w:spacing w:before="0" w:after="0"/>
        <w:ind w:hanging="0" w:start="0" w:end="0"/>
        <w:jc w:val="start"/>
        <w:rPr>
          <w:bdr w:val="single" w:sz="2" w:space="1" w:color="D9D9E3"/>
        </w:rPr>
      </w:pPr>
      <w:r>
        <w:rPr>
          <w:bdr w:val="single" w:sz="2" w:space="1" w:color="D9D9E3"/>
        </w:rPr>
        <w:t>Pautas de seguridad al manejar placas con PGA o con LGA</w:t>
      </w:r>
    </w:p>
    <w:p>
      <w:pPr>
        <w:pStyle w:val="BodyText"/>
        <w:bidi w:val="0"/>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Cuando trabajas con placas madre que utilizan zócalos PGA (Pin Grid Array) o LGA (Land Grid Array), es esencial seguir algunas pautas de seguridad para evitar daños tanto a la placa madre como al procesador. Aquí hay algunas recomendaciones generales:</w:t>
      </w:r>
    </w:p>
    <w:p>
      <w:pPr>
        <w:pStyle w:val="Heading3"/>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Tanto para PGA como LGA:</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Descarga Estática:</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Asegúrate de estar descargado estáticamente antes de tocar cualquier componente. Usa pulseras antiestáticas o toca una superficie metálica no pintada para descargar la electricidad estática de tu cuerpo.</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Manejo Cuidadoso:</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Manipula los componentes con cuidado. Evita tocar los pines o los contactos directamente en el caso de PGA, o los contactos dorados en el caso de LGA. Sujeta la placa madre por los bordes siempre que sea posible.</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Ubicación Sobre una Superficie Antiestática:</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Trabaja sobre una superficie antiestática, como una alfombrilla o una mesa antiestática, para reducir el riesgo de acumulación de electricidad estática.</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Almacenamiento Seguro:</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hanging="283" w:start="1418" w:end="0"/>
        <w:jc w:val="start"/>
        <w:rPr>
          <w:bdr w:val="single" w:sz="2" w:space="1" w:color="D9D9E3"/>
        </w:rPr>
      </w:pPr>
      <w:r>
        <w:rPr>
          <w:bdr w:val="single" w:sz="2" w:space="1" w:color="D9D9E3"/>
        </w:rPr>
        <w:t>Almacena los componentes en bolsas antiestáticas cuando no estén en uso para protegerlos contra la acumulación de carga estática.</w:t>
      </w:r>
    </w:p>
    <w:p>
      <w:pPr>
        <w:pStyle w:val="Heading3"/>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Para PGA (Pin Grid Array):</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Alineación Cuidadosa:</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Cuando instales un procesador PGA en el zócalo, alinea cuidadosamente los pines con los agujeros correspondientes en el zócalo. Evita doblar los pines.</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Presión Uniforme:</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Al cerrar la palanca de retención del zócalo, aplica presión uniforme para asegurar un contacto adecuado. No fuerces la palanca.</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Verificación Visual:</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hanging="283" w:start="1418" w:end="0"/>
        <w:jc w:val="start"/>
        <w:rPr>
          <w:bdr w:val="single" w:sz="2" w:space="1" w:color="D9D9E3"/>
        </w:rPr>
      </w:pPr>
      <w:r>
        <w:rPr>
          <w:bdr w:val="single" w:sz="2" w:space="1" w:color="D9D9E3"/>
        </w:rPr>
        <w:t>Antes de cerrar completamente la palanca, realiza una verificación visual para asegurarte de que el procesador esté correctamente asentado.</w:t>
      </w:r>
    </w:p>
    <w:p>
      <w:pPr>
        <w:pStyle w:val="Heading3"/>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Para LGA (Land Grid Array):</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No Tocar los Pines:</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Evita tocar los pines en la parte inferior del procesador LGA. Estos pines son más delicados y sensibles que los pines de PGA.</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Alineación Precisa:</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Alinea cuidadosamente el procesador con los agujeros en el zócalo. Ten cuidado al bajar el procesador en su lugar para evitar dañar los contactos en la parte inferior.</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Instalación Vertical:</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hanging="283" w:start="1418" w:end="0"/>
        <w:jc w:val="start"/>
        <w:rPr>
          <w:bdr w:val="single" w:sz="2" w:space="1" w:color="D9D9E3"/>
        </w:rPr>
      </w:pPr>
      <w:r>
        <w:rPr>
          <w:bdr w:val="single" w:sz="2" w:space="1" w:color="D9D9E3"/>
        </w:rPr>
        <w:t>Al instalar el procesador LGA, asegúrate de que el zócalo esté orientado correctamente para que los contactos hagan un buen contacto al bajar el procesador.</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Siguiendo estas pautas, puedes minimizar el riesgo de daño tanto a la placa madre como al procesador durante la instalación y manipulación de componentes. Además, siempre es recomendable consultar los manuales específicos de la placa madre y del procesador para obtener instrucciones detalladas y garantizar una instalación segura.</w:t>
      </w:r>
    </w:p>
    <w:p>
      <w:pPr>
        <w:pStyle w:val="Normal"/>
        <w:bidi w:val="0"/>
        <w:jc w:val="start"/>
        <w:rPr/>
      </w:pPr>
      <w:r>
        <w:rPr/>
      </w:r>
      <w:r>
        <w:br w:type="page"/>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paragraph" w:styleId="Heading3">
    <w:name w:val="Heading 3"/>
    <w:basedOn w:val="Ttulo"/>
    <w:next w:val="BodyText"/>
    <w:qFormat/>
    <w:pPr>
      <w:spacing w:before="140" w:after="120"/>
      <w:outlineLvl w:val="2"/>
    </w:pPr>
    <w:rPr>
      <w:rFonts w:ascii="Liberation Serif" w:hAnsi="Liberation Serif" w:eastAsia="Noto Serif CJK SC" w:cs="Lohit Devanagari"/>
      <w:b/>
      <w:bCs/>
      <w:sz w:val="28"/>
      <w:szCs w:val="28"/>
    </w:rPr>
  </w:style>
  <w:style w:type="character" w:styleId="Smbolosdenumeracin">
    <w:name w:val="Símbolos de numeración"/>
    <w:qFormat/>
    <w:rPr/>
  </w:style>
  <w:style w:type="character" w:styleId="Strong">
    <w:name w:val="Strong"/>
    <w:qFormat/>
    <w:rPr>
      <w:b/>
      <w:b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TotalTime>
  <Application>LibreOffice/7.6.2.1$Linux_X86_64 LibreOffice_project/56f7684011345957bbf33a7ee678afaf4d2ba333</Application>
  <AppVersion>15.0000</AppVersion>
  <Pages>11</Pages>
  <Words>2952</Words>
  <Characters>15949</Characters>
  <CharactersWithSpaces>18531</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2023-12-17T16:39:57Z</dcterms:created>
  <dc:creator/>
  <dc:description/>
  <dc:language>es-ES</dc:language>
  <cp:lastModifiedBy/>
  <dcterms:modified xsi:type="dcterms:W3CDTF">2023-12-17T17:29:34Z</dcterms:modified>
  <cp:revision>5</cp:revision>
  <dc:subject/>
  <dc:title/>
</cp:coreProperties>
</file>