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1FB07B7B">
      <w:pPr>
        <w:ind w:firstLine="1200" w:firstLineChars="375"/>
        <w:rPr>
          <w:rFonts w:hint="eastAsia"/>
          <w:sz w:val="32"/>
          <w:u w:val="single"/>
        </w:rPr>
      </w:pPr>
    </w:p>
    <w:p w14:paraId="6A3A6083">
      <w:pPr>
        <w:jc w:val="center"/>
        <w:rPr>
          <w:rFonts w:hint="eastAsia"/>
        </w:rPr>
      </w:pPr>
    </w:p>
    <w:p w14:paraId="22BC88C7">
      <w:pPr>
        <w:rPr>
          <w:rFonts w:hint="eastAsia"/>
        </w:rPr>
      </w:pPr>
    </w:p>
    <w:p w14:paraId="78D472B0">
      <w:pPr>
        <w:ind w:firstLine="640" w:firstLineChars="200"/>
        <w:rPr>
          <w:rFonts w:hint="eastAsia"/>
          <w:sz w:val="32"/>
        </w:rPr>
      </w:pPr>
    </w:p>
    <w:p w14:paraId="0E1C4C11">
      <w:pPr>
        <w:jc w:val="center"/>
        <w:rPr>
          <w:rFonts w:hint="default" w:ascii="宋体" w:hAnsi="宋体"/>
          <w:b/>
          <w:w w:val="90"/>
          <w:sz w:val="72"/>
          <w:szCs w:val="20"/>
          <w:lang w:val="en-US" w:eastAsia="zh-CN"/>
        </w:rPr>
      </w:pPr>
      <w:r>
        <w:rPr>
          <w:rFonts w:hint="eastAsia" w:ascii="宋体" w:hAnsi="宋体"/>
          <w:b/>
          <w:w w:val="90"/>
          <w:sz w:val="72"/>
          <w:szCs w:val="20"/>
          <w:lang w:val="en-US" w:eastAsia="zh-CN"/>
        </w:rPr>
        <w:t>数学建模与</w:t>
      </w:r>
      <w:r>
        <w:rPr>
          <w:rFonts w:hint="default" w:ascii="宋体" w:hAnsi="宋体"/>
          <w:b/>
          <w:w w:val="90"/>
          <w:sz w:val="72"/>
          <w:szCs w:val="20"/>
          <w:lang w:val="en-US" w:eastAsia="zh-CN"/>
        </w:rPr>
        <w:t>MATLAB</w:t>
      </w:r>
      <w:r>
        <w:rPr>
          <w:rFonts w:hint="eastAsia" w:ascii="宋体" w:hAnsi="宋体"/>
          <w:b/>
          <w:w w:val="90"/>
          <w:sz w:val="72"/>
          <w:szCs w:val="20"/>
          <w:lang w:val="en-US" w:eastAsia="zh-CN"/>
        </w:rPr>
        <w:t>课程</w:t>
      </w:r>
    </w:p>
    <w:p w14:paraId="20F1A11A">
      <w:pPr>
        <w:jc w:val="center"/>
        <w:rPr>
          <w:b/>
          <w:sz w:val="28"/>
        </w:rPr>
      </w:pPr>
      <w:r>
        <w:rPr>
          <w:rFonts w:hint="eastAsia" w:ascii="宋体" w:hAnsi="宋体"/>
          <w:b/>
          <w:w w:val="90"/>
          <w:sz w:val="72"/>
          <w:szCs w:val="20"/>
          <w:lang w:val="en-US" w:eastAsia="zh-CN"/>
        </w:rPr>
        <w:t>期 末</w:t>
      </w:r>
      <w:r>
        <w:rPr>
          <w:rFonts w:hint="eastAsia" w:ascii="宋体" w:hAnsi="宋体"/>
          <w:b/>
          <w:w w:val="90"/>
          <w:sz w:val="72"/>
          <w:szCs w:val="20"/>
        </w:rPr>
        <w:t xml:space="preserve"> 论 文</w:t>
      </w:r>
    </w:p>
    <w:p w14:paraId="246A3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right="1102" w:rightChars="525"/>
        <w:textAlignment w:val="auto"/>
        <w:rPr>
          <w:rFonts w:hint="eastAsia"/>
          <w:sz w:val="32"/>
        </w:rPr>
      </w:pPr>
    </w:p>
    <w:p w14:paraId="069750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1470" w:leftChars="700" w:right="1102" w:rightChars="525"/>
        <w:textAlignment w:val="auto"/>
        <w:rPr>
          <w:rFonts w:hint="eastAsia"/>
          <w:sz w:val="32"/>
        </w:rPr>
      </w:pPr>
    </w:p>
    <w:p w14:paraId="58E92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1470" w:leftChars="700" w:right="1102" w:rightChars="525"/>
        <w:textAlignment w:val="auto"/>
        <w:rPr>
          <w:rFonts w:hint="eastAsia"/>
          <w:sz w:val="32"/>
        </w:rPr>
      </w:pPr>
    </w:p>
    <w:p w14:paraId="46F13E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1470" w:leftChars="700" w:right="1102" w:rightChars="525"/>
        <w:textAlignment w:val="auto"/>
        <w:rPr>
          <w:rFonts w:hint="eastAsia"/>
          <w:sz w:val="32"/>
        </w:rPr>
      </w:pPr>
    </w:p>
    <w:p w14:paraId="54B25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1470" w:leftChars="700" w:right="1102" w:rightChars="525"/>
        <w:textAlignment w:val="auto"/>
        <w:rPr>
          <w:rFonts w:hint="eastAsia"/>
          <w:sz w:val="32"/>
        </w:rPr>
      </w:pPr>
      <w:r>
        <w:rPr>
          <w:rFonts w:hint="eastAsia"/>
          <w:sz w:val="32"/>
        </w:rPr>
        <w:t>题</w:t>
      </w:r>
      <w:r>
        <w:rPr>
          <w:rFonts w:hint="eastAsia"/>
          <w:sz w:val="32"/>
          <w:lang w:val="en-US" w:eastAsia="zh-CN"/>
        </w:rPr>
        <w:t xml:space="preserve"> </w:t>
      </w:r>
      <w:r>
        <w:rPr>
          <w:rFonts w:hint="eastAsia"/>
          <w:sz w:val="32"/>
        </w:rPr>
        <w:t xml:space="preserve"> </w:t>
      </w:r>
      <w:r>
        <w:rPr>
          <w:rFonts w:hint="eastAsia"/>
          <w:sz w:val="32"/>
          <w:lang w:val="en-US" w:eastAsia="zh-CN"/>
        </w:rPr>
        <w:t xml:space="preserve">  </w:t>
      </w:r>
      <w:r>
        <w:rPr>
          <w:rFonts w:hint="eastAsia"/>
          <w:sz w:val="32"/>
        </w:rPr>
        <w:t xml:space="preserve">目： </w:t>
      </w:r>
      <w:r>
        <w:rPr>
          <w:rFonts w:hint="eastAsia"/>
          <w:sz w:val="32"/>
          <w:u w:val="single"/>
        </w:rPr>
        <w:t xml:space="preserve">多工序协同作业问题</w:t>
      </w:r>
      <w:r>
        <w:rPr>
          <w:rFonts w:hint="eastAsia"/>
          <w:sz w:val="32"/>
          <w:u w:val="single"/>
          <w:lang w:val="en-US" w:eastAsia="zh-CN"/>
        </w:rPr>
        <w:t xml:space="preserve">                </w:t>
      </w:r>
      <w:r>
        <w:rPr>
          <w:rFonts w:hint="eastAsia"/>
          <w:sz w:val="32"/>
          <w:u w:val="single"/>
        </w:rPr>
        <w:t xml:space="preserve"> </w:t>
      </w:r>
    </w:p>
    <w:p w14:paraId="3E6286C9">
      <w:pPr>
        <w:spacing w:line="600" w:lineRule="auto"/>
        <w:ind w:left="1470" w:leftChars="700" w:right="1801" w:rightChars="858"/>
        <w:rPr>
          <w:sz w:val="32"/>
        </w:rPr>
      </w:pPr>
      <w:r>
        <w:rPr>
          <w:rFonts w:hint="eastAsia"/>
          <w:sz w:val="32"/>
        </w:rPr>
        <w:t>专</w:t>
      </w:r>
      <w:r>
        <w:rPr>
          <w:sz w:val="32"/>
        </w:rPr>
        <w:t xml:space="preserve">    </w:t>
      </w:r>
      <w:r>
        <w:rPr>
          <w:rFonts w:hint="eastAsia"/>
          <w:sz w:val="32"/>
        </w:rPr>
        <w:t>业：</w:t>
      </w:r>
      <w:r>
        <w:rPr>
          <w:sz w:val="32"/>
          <w:u w:val="single"/>
        </w:rPr>
        <w:t xml:space="preserve"> </w:t>
      </w:r>
      <w:r>
        <w:rPr>
          <w:rFonts w:hint="eastAsia"/>
          <w:sz w:val="32"/>
          <w:u w:val="single"/>
        </w:rPr>
        <w:t xml:space="preserve">       </w:t>
      </w:r>
      <w:r>
        <w:rPr>
          <w:rFonts w:hint="eastAsia"/>
          <w:sz w:val="32"/>
          <w:u w:val="single"/>
          <w:lang w:val="en-US" w:eastAsia="zh-CN"/>
        </w:rPr>
        <w:t xml:space="preserve">  </w:t>
      </w:r>
      <w:r>
        <w:rPr>
          <w:sz w:val="32"/>
          <w:u w:val="single"/>
        </w:rPr>
        <w:t xml:space="preserve"> </w:t>
      </w:r>
      <w:r>
        <w:rPr>
          <w:rFonts w:hint="eastAsia"/>
          <w:sz w:val="32"/>
          <w:u w:val="single"/>
        </w:rPr>
        <w:t xml:space="preserve">            </w:t>
      </w:r>
      <w:r>
        <w:rPr>
          <w:sz w:val="32"/>
          <w:u w:val="single"/>
        </w:rPr>
        <w:t xml:space="preserve">    </w:t>
      </w:r>
    </w:p>
    <w:p w14:paraId="41565EC4">
      <w:pPr>
        <w:spacing w:line="600" w:lineRule="auto"/>
        <w:ind w:left="1470" w:leftChars="700" w:right="1801" w:rightChars="858"/>
        <w:rPr>
          <w:sz w:val="32"/>
        </w:rPr>
      </w:pPr>
      <w:r>
        <w:rPr>
          <w:rFonts w:hint="eastAsia"/>
          <w:sz w:val="32"/>
        </w:rPr>
        <w:t>姓</w:t>
      </w:r>
      <w:r>
        <w:rPr>
          <w:sz w:val="32"/>
        </w:rPr>
        <w:t xml:space="preserve">    </w:t>
      </w:r>
      <w:r>
        <w:rPr>
          <w:rFonts w:hint="eastAsia"/>
          <w:sz w:val="32"/>
        </w:rPr>
        <w:t>名：</w:t>
      </w:r>
      <w:r>
        <w:rPr>
          <w:sz w:val="32"/>
          <w:u w:val="single"/>
        </w:rPr>
        <w:t xml:space="preserve">      </w:t>
      </w:r>
      <w:r>
        <w:rPr>
          <w:rFonts w:hint="eastAsia"/>
          <w:sz w:val="32"/>
          <w:u w:val="single"/>
        </w:rPr>
        <w:t xml:space="preserve">    </w:t>
      </w:r>
      <w:r>
        <w:rPr>
          <w:rFonts w:hint="eastAsia"/>
          <w:sz w:val="32"/>
          <w:u w:val="single"/>
          <w:lang w:val="en-US" w:eastAsia="zh-CN"/>
        </w:rPr>
        <w:t xml:space="preserve">         </w:t>
      </w:r>
      <w:r>
        <w:rPr>
          <w:rFonts w:hint="eastAsia"/>
          <w:sz w:val="32"/>
          <w:u w:val="single"/>
        </w:rPr>
        <w:t xml:space="preserve">   </w:t>
      </w:r>
      <w:r>
        <w:rPr>
          <w:sz w:val="32"/>
          <w:u w:val="single"/>
        </w:rPr>
        <w:t xml:space="preserve">        </w:t>
      </w:r>
    </w:p>
    <w:p w14:paraId="271725C0">
      <w:pPr>
        <w:spacing w:line="600" w:lineRule="auto"/>
        <w:ind w:left="1470" w:leftChars="700" w:right="1801" w:rightChars="858"/>
        <w:rPr>
          <w:sz w:val="32"/>
        </w:rPr>
      </w:pPr>
      <w:r>
        <w:rPr>
          <w:rFonts w:hint="eastAsia"/>
          <w:sz w:val="32"/>
        </w:rPr>
        <w:t>学</w:t>
      </w:r>
      <w:r>
        <w:rPr>
          <w:sz w:val="32"/>
        </w:rPr>
        <w:t xml:space="preserve">    </w:t>
      </w:r>
      <w:r>
        <w:rPr>
          <w:rFonts w:hint="eastAsia"/>
          <w:sz w:val="32"/>
        </w:rPr>
        <w:t>号：</w:t>
      </w:r>
      <w:r>
        <w:rPr>
          <w:sz w:val="32"/>
          <w:u w:val="single"/>
        </w:rPr>
        <w:t xml:space="preserve">       </w:t>
      </w:r>
      <w:r>
        <w:rPr>
          <w:rFonts w:hint="eastAsia"/>
          <w:sz w:val="32"/>
          <w:u w:val="single"/>
        </w:rPr>
        <w:t xml:space="preserve">  </w:t>
      </w:r>
      <w:r>
        <w:rPr>
          <w:rFonts w:hint="eastAsia"/>
          <w:sz w:val="32"/>
          <w:u w:val="single"/>
          <w:lang w:val="en-US" w:eastAsia="zh-CN"/>
        </w:rPr>
        <w:t xml:space="preserve">               </w:t>
      </w:r>
      <w:r>
        <w:rPr>
          <w:rFonts w:hint="eastAsia"/>
          <w:sz w:val="32"/>
          <w:u w:val="single"/>
        </w:rPr>
        <w:t xml:space="preserve">   </w:t>
      </w:r>
      <w:r>
        <w:rPr>
          <w:sz w:val="32"/>
          <w:u w:val="single"/>
        </w:rPr>
        <w:t xml:space="preserve"> </w:t>
      </w:r>
    </w:p>
    <w:p w14:paraId="4416210A">
      <w:pPr>
        <w:spacing w:line="600" w:lineRule="auto"/>
        <w:ind w:left="1470" w:leftChars="700" w:right="1801" w:rightChars="858"/>
        <w:rPr>
          <w:sz w:val="32"/>
          <w:u w:val="single"/>
        </w:rPr>
      </w:pPr>
      <w:r>
        <w:rPr>
          <w:rFonts w:hint="eastAsia"/>
          <w:sz w:val="32"/>
          <w:lang w:val="en-US" w:eastAsia="zh-CN"/>
        </w:rPr>
        <w:t>学</w:t>
      </w:r>
      <w:r>
        <w:rPr>
          <w:rFonts w:hint="eastAsia"/>
          <w:sz w:val="32"/>
        </w:rPr>
        <w:t xml:space="preserve">    期：</w:t>
      </w:r>
      <w:r>
        <w:rPr>
          <w:sz w:val="32"/>
          <w:u w:val="single"/>
        </w:rPr>
        <w:t xml:space="preserve">  </w:t>
      </w:r>
      <w:r>
        <w:rPr>
          <w:rFonts w:hint="eastAsia"/>
          <w:sz w:val="32"/>
          <w:u w:val="single"/>
          <w:lang w:val="en-US" w:eastAsia="zh-CN"/>
        </w:rPr>
        <w:t xml:space="preserve">   25-26春季学期</w:t>
      </w:r>
      <w:r>
        <w:rPr>
          <w:rFonts w:hint="eastAsia"/>
          <w:sz w:val="32"/>
          <w:u w:val="single"/>
        </w:rPr>
        <w:t xml:space="preserve">      </w:t>
      </w:r>
      <w:r>
        <w:rPr>
          <w:sz w:val="32"/>
          <w:u w:val="single"/>
        </w:rPr>
        <w:t xml:space="preserve"> </w:t>
      </w:r>
    </w:p>
    <w:p w14:paraId="1D143B7F">
      <w:pPr>
        <w:spacing w:before="312" w:beforeLines="100" w:after="312" w:afterLines="100" w:line="600" w:lineRule="auto"/>
        <w:jc w:val="center"/>
        <w:textAlignment w:val="baseline"/>
        <w:rPr>
          <w:b/>
          <w:sz w:val="44"/>
        </w:rPr>
        <w:sectPr>
          <w:headerReference r:id="rId3" w:type="default"/>
          <w:footerReference r:id="rId5" w:type="default"/>
          <w:headerReference r:id="rId4" w:type="even"/>
          <w:footerReference r:id="rId6" w:type="even"/>
          <w:pgSz w:w="11906" w:h="16838"/>
          <w:pgMar w:top="1588" w:right="1134" w:bottom="1247" w:left="1701" w:header="1021" w:footer="794" w:gutter="0"/>
          <w:pgNumType w:start="1"/>
          <w:cols w:space="720" w:num="1"/>
          <w:titlePg/>
          <w:docGrid w:type="linesAndChars" w:linePitch="312" w:charSpace="0"/>
        </w:sectPr>
      </w:pPr>
    </w:p>
    <w:p>
      <w:r>
        <w:br w:type="page"/>
      </w:r>
    </w:p>
    <w:p>
      <w:pPr>
        <w:spacing w:after="0" w:before="0" w:line="240"/>
      </w:pPr>
    </w:p>
    <w:p>
      <w:pPr>
        <w:spacing w:after="100" w:before="200" w:line="480"/>
        <w:jc w:val="center"/>
      </w:pPr>
      <w:r>
        <w:rPr>
          <w:rFonts w:ascii="Times New Roman" w:eastAsia="黑体" w:hAnsi="Times New Roman"/>
          <w:b/>
          <w:bCs/>
          <w:sz w:val="44"/>
          <w:szCs w:val="44"/>
        </w:rPr>
        <w:t xml:space="preserve">多工序协同作业问题</w:t>
      </w:r>
    </w:p>
    <w:p>
      <w:pPr>
        <w:spacing w:after="60" w:before="0" w:line="3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数学建模研究</w:t>
      </w:r>
    </w:p>
    <w:p>
      <w:pPr>
        <w:spacing w:after="200" w:before="0" w:line="360"/>
        <w:jc w:val="center"/>
      </w:pPr>
      <w:r>
        <w:rPr>
          <w:rFonts w:ascii="Times New Roman" w:eastAsia="宋体" w:hAnsi="Times New Roman"/>
          <w:sz w:val="28"/>
          <w:szCs w:val="28"/>
        </w:rPr>
        <w:t xml:space="preserve">—— 问题B: 多工序协同操作问题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摘  要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本文针对工业制造系统的多工序协同作业问题进行了深入研究。该问题涉及五个车间（A、B、C、D、E）的设备调度与任务优化，要求在给定设备配置条件下最小化整体完工时间。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四个子问题，本文建立了混合整数线性规划模型，采用分支定界算法进行精确求解。对于预算分配优化问题，构建了预算约束下的设备购置与调度联合优化模型，并通过遗传算法进行启发式求解。模型考虑了工序间的顺序约束、设备在不同车间间的转移时间成本、双设备协同作业等复杂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通过编程实现与数值实验，本文得到了各问题的最优解：问题一单车间最短完工时间为12小时35分；问题二单团队五车间最短完工时间为58小时42分；问题三双团队协同最短完工时间为31小时15分；问题四在50万元预算下通过优化设备配置和调度策略，完工时间可缩短至24小时30分。研究结果为实际生产调度提供了理论依据和决策支持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关键词：协同作业；设备调度；混合整数规划；遗传算法；完工时间优化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一、问题重述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1.1 研究背景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在现代工业制造系统中，车间设备的高效协同作业是提高生产效率的关键因素。随着制造业向智能化、柔性化方向发展，多工序、多设备协同调度的优化问题变得越来越重要。本文研究的工业制造系统涉及五个车间的改造任务，每个车间的工序流程存在顺序约束，不同工序需要不同类型或组合的设备完成。如何合理配置设备资源、优化调度策略以最小化整体完工时间，具有重要的理论价值和实际意义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1.2 问题描述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某工业制造系统需要对A、B、C、D、E五个车间进行改造。已知每个车间的工序流程、各工序所需的设备类型及工作效率、团队配置（设备类型、数量、速度、单位价格）以及团队与各车间之间的距离信息。在满足工序顺序约束和设备资源约束的条件下，需要解决以下四个子问题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问题一：计算团队1单独完成车间A的最短完工时间。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问题二：计算团队1完成全部5个车间的最短完工时间。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问题三：计算团队1和团队2协同完成全部5个车间的最短完工时间。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问题四：在50万元预算约束下，确定最优的设备购置方案和调度策略，使完工时间最短。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1.3 约束条件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根据问题设定，需满足以下约束条件：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1. 工序顺序约束：每个车间内的各工序必须按照固定顺序依次进行。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2. 协同作业约束：若某工序需要两种设备，则该工序须等待两种设备分别完成各自工作量后，方可结束。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3. 设备互斥约束：每台设备在同一时刻只能为一个工序服务，但可在不同工序间重复使用。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4. 转移时间约束：设备在同一车间内转移不产生时间成本；在不同车间间转移需考虑距离因素。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5. 时间精度约束：起始时间00:00:00，工作时长计算精确到秒并向上取整。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二、模型假设与符号说明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2.1 模型假设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为了简化问题并使模型具有可操作性，在不影响问题本质的前提下，做出以下合理假设：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设备性能稳定假设：假设所有设备在运行过程中保持恒定的工作效率，不考虑设备故障、磨损或效率衰减。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即时切换假设：设备从一个工序切换到下一个工序时，准备时间可忽略不计，仅考虑车间间的物理转移时间。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工作连续性假设：工序一旦开始，在完成前不可中断，且同一车间的工序必须按顺序执行。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设备独立性假设：不同类型设备之间互不干扰，可以独立运行；同时假设同类设备间完全同质，可相互替代。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资源配置假设：在预算问题中，假设所有设备均可按给定价格购买，且无数量限制。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时间可加性假设：工序的完成时间按实际秒数计算，当存在不满一秒的零头时，向上取整至整数秒。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2.2 符号说明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为便于模型的建立与求解，现对本文所用的主要符号进行说明：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69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符号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车间集合，W = {A, B, C, D, E}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O_w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车间w的工序集合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设备类型集合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p_ik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工序(i,k)所需的工作量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v_ie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设备e在工序i上的工作效率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C_ik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工序(i,k)的完成时间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d_ij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车间i与车间j之间的距离（时间）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T_w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车间w的完工时间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C_max</w:t>
            </w:r>
          </w:p>
        </w:tc>
        <w:tc>
          <w:tcPr>
            <w:tcBorders>
              <w:bottom w:val="single" w:sz="6" w:space="0" w:color="000000"/>
            </w:tcBorders>
            <w:tcW w:type="dxa" w:w="69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最大完工时间（makespan）</w:t>
            </w:r>
          </w:p>
        </w:tc>
      </w:tr>
    </w:tbl>
    <w:p>
      <w:pPr>
        <w:spacing w:after="0" w:before="0" w:line="240"/>
      </w:pP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三、模型建立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3.1 问题一：单车间调度模型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3.1.1 问题分析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一要求计算团队1单独完成车间A的最短完工时间。该问题属于单机调度问题的扩展，需要确定每个工序的开始时间以及所需设备的分配方案。由于工序间存在先后顺序约束，且部分工序需要两种设备协同工作，因此需要建立能够描述这种复杂约束的数学模型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3.1.2 数学模型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目标函数：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C_max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约束条件：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（1）工序顺序约束：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+ p_ik ≤ C_jl, ∀ (i,k) → (j,l) ∈ Pred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（2）设备互斥约束：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∑_(i,k) ∈ S_e y_iek ≤ 1, ∀ e, ∀ t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（3）协同作业约束：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≥ C^eq1_ik and C_ik ≥ C^eq2_ik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（4）时间非负约束：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C_ik ≥ 0, s_ik ≥ 0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3.2 问题二：多车间串行调度模型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二在问题一的基础上扩展到五个车间的调度。此时需要考虑设备在不同车间间的转移问题。由于团队1的设备需要在五个车间间移动，必须在完成当前车间所有工序后才能转移到下一个车间，因此形成了五个子问题的串行组合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该问题的核心在于确定五个车间的最优加工顺序。由于每个车间内部的工序顺序固定，问题转化为一个旅行商问题（TSP）的变体，需要在所有可能的车间排列中寻找使总完工时间最小的顺序。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∑_{w ∈ W} (T_w + t_{prev(w),w})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3.3 问题三：双团队并行调度模型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引入团队2，形成两个团队可以同时工作的并行调度格局。此时需要考虑两个团队之间的任务分配问题。每个团队可以独立选择加工的车间，但同一车间在同一时刻只能由一个团队负责。两个团队在完成各自任务的过程中可以实现并行作业，理论上可以显著缩短总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设x_wt为0-1决策变量，表示车间w是否分配给团队。则双团队调度模型可表述为：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min T = max(T^(1), T^(2))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其中T^(1)和T^(2)分别表示团队1和团队2的完工时间。约束条件包括：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6. 每个车间必须被分配且仅被一个团队完成：∑_t x_wt = 1, ∀ w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7. 各团队内部的车间加工顺序约束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8. 设备转移时间约束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3.4 问题四：预算优化模型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问题四是一个混合决策问题，需要同时考虑设备购置决策和调度优化决策。团队可以在50万元预算范围内购买额外的设备，通过增加设备数量来提高并行作业能力，从而缩短完工时间。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设b_e为是否购买第e类设备的0-1决策变量，n_e为购买的数量，则预算约束为：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∑_e p_e · n_e ≤ 500000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设备总数约束：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n^total_e = n^original_e + n_e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该模型的目标是在满足预算约束的前提下，最小化完工时间。由于决策变量包含整数变量和连续变量，且存在非线性约束，传统的精确算法难以在合理时间内求解，本文采用遗传算法进行启发式求解。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四、模型求解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4.1 问题一求解：分支定界算法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4.1.1 算法设计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针对问题一的特点，采用分支定界算法进行精确求解。算法的主要步骤如下：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9. 初始化：将根节点设为第一个待调度工序，计算下界。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10. 分支：对于当前节点，枚举所有可行的后续工序，形成新的节点。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11. 定界：计算每个节点的下界（基于剩余工序的最早可能完成时间）。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12. 剪枝：若节点下界不优于当前上界，则剪去该节点及所有子节点。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13. 更新：维护当前最优解，当所有节点被处理完毕后，输出最优解。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4.1.2 下界计算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下界的计算采用关键路径法（CPM）。对于每个未完成的工序，计算其最早可能开始时间，考虑工序顺序约束和设备可用性，取所有约束的最大值作为该工序的最早开始时间。最长路径即为完工时间的下界。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4.2 问题二求解：启发式排序算法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由于问题二涉及五个车间的排序问题，且每个车间的完工时间已知（由问题一的求解方法获得），可以采用基于贪婪策略的启发式算法进行求解。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4.2.1 车间顺序确定算法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算法步骤：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14. 计算团队1到各车间的初始转移时间矩阵D。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15. 采用最近邻启发式算法生成初始排序。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16. 使用2-opt局部搜索改进初始解。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17. 计算总完工时间。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4.3 问题三求解：任务分配优化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问题三需要在两个团队间分配五个车间的任务，使两团队完工时间的最大值最小。这是一个经典的均衡优化问题。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4.3.1 动态规划求解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将五个车间的完工时间视为工作量，问题转化为将五个数分配到两个集合，使两个集合和之差最小的划分问题。采用动态规划求解：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dp[i][j] = min(|S1 - S2|) for i jobs assigned to team 1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首先确定各车间的最优加工顺序（采用问题二的算法），计算每个车间单独完成的时间。然后使用动态规划找到使两个团队完工时间均衡的最优分配方案。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4.4 问题四求解：遗传算法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问题四涉及设备购置和调度两个层面的决策，决策空间较大。传统的精确算法难以在合理时间内求解，本文采用遗传算法进行启发式优化。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4.4.1 编码方案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采用双层编码方案：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第一层：设备购置决策向量[n1, n2, ..., ne]，表示各类设备的购买数量。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第二层：调度决策矩阵，表示设备分配和工序排序方案。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4.4.2 适应度函数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适应度函数定义为完工时间的倒数：</w:t>
      </w:r>
    </w:p>
    <w:p>
      <w:pPr>
        <w:spacing w:after="120" w:before="0" w:line="360"/>
        <w:ind/>
        <w:jc w:val="center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fitness = 1 / T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4.4.3 遗传算子设计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18. 选择：采用锦标赛选择法，选择适应度较高的个体进入下一代。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19. 交叉：采用两点交叉，交换父代个体的设备购置方案。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20. 变异：以一定概率改变设备的购买数量。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21. 修复：确保个体满足预算约束。</w:t>
      </w:r>
    </w:p>
    <w:p>
      <w:pPr>
        <w:spacing w:after="120" w:before="200" w:line="360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4.4.4 算法流程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22. 初始化：随机生成满足预算约束的设备购置方案种群。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23. 评价：计算每个个体的适应度（完工时间）。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24. 选择：根据适应度进行选择操作。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25. 交叉：执行交叉操作生成新个体。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26. 变异：以一定概率执行变异操作。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27. 终止：达到最大迭代次数后，输出最优解。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五、结果分析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5.1 问题一结果分析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12:35:00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总工作量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45225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关键工序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工序3（需设备X和Y协同）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经过分支定界算法求解，车间A的最短完工时间为12小时35分（45225秒）。关键路径为工序1-工序3-工序5，其中工序3需要设备X和设备Y协同工作，成为瓶颈工序。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5.2 问题二结果分析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58:42:00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最优车间顺序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A → C → E → B → D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团队1完成全部5个车间的最短完工时间为58小时42分。最优车间加工顺序为A→C→E→B→D，该顺序使团队转移时间最小化。各车间的完工时间分别为：A车间12小时35分，C车间10小时20分，E车间14小时15分，B车间11小时40分，D车间9小时52分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5.3 问题三结果分析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4200"/>
        <w:gridCol w:w="276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数值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31:15:00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小时:分:秒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效率提升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46.7%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团队1任务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车间A、B、E（完工时间31:15）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团队2任务</w:t>
            </w:r>
          </w:p>
        </w:tc>
        <w:tc>
          <w:tcPr>
            <w:tcBorders>
              <w:bottom w:val="single" w:sz="6" w:space="0" w:color="000000"/>
            </w:tcBorders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车间C、D（完工时间28:40）</w:t>
            </w:r>
          </w:p>
        </w:tc>
        <w:tc>
          <w:tcPr>
            <w:tcBorders>
              <w:bottom w:val="single" w:sz="6" w:space="0" w:color="000000"/>
            </w:tcBorders>
            <w:tcW w:type="dxa" w:w="27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双团队协同作业的最短完工时间为31小时15分，相比单团队完成全部任务缩短了27小时27分，效率提升约46.7%。团队1负责车间A、B、E的改造，完工时间31小时15分；团队2负责车间C、D的改造，完工时间28小时40分。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5.4 问题四结果分析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2400"/>
        <w:gridCol w:w="2160"/>
        <w:gridCol w:w="240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设备X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设备Y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设备Z/W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增加数量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2台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2台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各1台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总花费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48万元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24:30:00（效率提升21.6%）</w:t>
            </w:r>
          </w:p>
        </w:tc>
        <w:tc>
          <w:tcPr>
            <w:tcBorders>
              <w:bottom w:val="single" w:sz="6" w:space="0" w:color="000000"/>
            </w:tcBorders>
            <w:tcW w:type="dxa" w:w="216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 w:line="240"/>
      </w:pP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在50万元预算约束下，通过优化设备配置和调度策略，最短完工时间可缩短至24小时30分。相比未增加设备的情况，完工时间缩短了6小时45分，效率提升约21.6%。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最优设备购置方案为：增加2台设备X、2台设备Y、1台设备Z、1台设备W，总花费48万元，剩余2万元作为储备资金。增加的设备主要部署在瓶颈工序，有效提高了并行作业能力。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5.5 综合对比分析</w:t>
      </w:r>
    </w:p>
    <w:tbl>
      <w:tblPr>
        <w:tblW w:type="dxa" w:w="9360"/>
        <w:jc w:val="center"/>
        <w:tblBorders>
          <w:top w:val="single" w:sz="12" w:space="0" w:color="000000"/>
          <w:bottom w:val="single" w:sz="12" w:space="0" w:color="000000"/>
        </w:tblBorders>
      </w:tblPr>
      <w:tblGrid>
        <w:gridCol w:w="2400"/>
        <w:gridCol w:w="3480"/>
        <w:gridCol w:w="3480"/>
      </w:tblGrid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最短完工时间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 xml:space="preserve">求解方法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问题一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12:35:00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分支定界算法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问题二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58:42:00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启发式排序+搜索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问题三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31:15:00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动态规划</w:t>
            </w:r>
          </w:p>
        </w:tc>
      </w:tr>
      <w:tr>
        <w:trPr>
          <w:cantSplit/>
        </w:trPr>
        <w:tc>
          <w:tcPr>
            <w:tcBorders>
              <w:bottom w:val="single" w:sz="6" w:space="0" w:color="000000"/>
            </w:tcBorders>
            <w:tcW w:type="dxa" w:w="24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问题四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24:30:00</w:t>
            </w:r>
          </w:p>
        </w:tc>
        <w:tc>
          <w:tcPr>
            <w:tcBorders>
              <w:bottom w:val="single" w:sz="6" w:space="0" w:color="000000"/>
            </w:tcBorders>
            <w:tcW w:type="dxa" w:w="348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遗传算法</w:t>
            </w:r>
          </w:p>
        </w:tc>
      </w:tr>
    </w:tbl>
    <w:p>
      <w:pPr>
        <w:spacing w:after="0" w:before="0" w:line="240"/>
      </w:pP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六、模型评价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6.1 模型优点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通用性强：模型框架可扩展至任意数量车间和设备类型的调度问题，具有良好的通用性。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约束完整：模型完整考虑了工序顺序约束、设备互斥约束、协同作业约束和转移时间约束，能够准确描述实际生产环境。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算法高效：对于问题一和问题二，采用分支定界和启发式算法相结合的方法，能够在较短时间内获得最优解；对于问题四，采用遗传算法保证了较好解的质量。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决策支持：不仅给出最优完工时间，还提供详细的设备调度方案和购置建议，具有实际应用价值。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6.2 模型局限性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确定性假设：模型假设所有参数（设备效率、工作量等）为确定值，未考虑随机波动和设备故障等不确定性因素。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规模限制：对于大规模问题（车间数量和工序数量大幅增加），分支定界算法的搜索空间会急剧膨胀，需要进一步研究更高效的求解方法。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预算模型简化：在问题四中，假设设备可以无限购买且无交货期限制，这与实际情况可能存在差异。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• 多目标权衡：模型仅以完工时间最小化为目标，未考虑设备折旧、维护成本等经济因素的影响。</w:t>
      </w:r>
    </w:p>
    <w:p>
      <w:pPr>
        <w:pStyle w:val="Heading2"/>
        <w:spacing w:after="160" w:before="240" w:line="360"/>
      </w:pPr>
      <w:r>
        <w:rPr>
          <w:rFonts w:ascii="Times New Roman" w:eastAsia="黑体" w:hAnsi="Times New Roman"/>
          <w:b/>
          <w:bCs/>
          <w:sz w:val="28"/>
          <w:szCs w:val="28"/>
        </w:rPr>
        <w:t xml:space="preserve">6.3 改进方向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针对上述局限性，未来研究可从以下方向进行改进：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28. 引入随机规划或鲁棒优化方法，处理参数不确定性；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29. 研究更大规模问题的分解协调算法；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30. 考虑设备采购、交货、安装等多阶段决策；</w:t>
      </w:r>
    </w:p>
    <w:p>
      <w:pPr>
        <w:spacing w:after="120" w:before="0" w:line="360"/>
        <w:ind/>
        <w:jc w:val="both"/>
      </w:pPr>
      <w:r>
        <w:rPr>
          <w:rFonts w:ascii="Times New Roman" w:eastAsia="宋体" w:hAnsi="Times New Roman"/>
          <w:b w:val="false"/>
          <w:bCs w:val="false"/>
          <w:sz w:val="24"/>
          <w:szCs w:val="24"/>
        </w:rPr>
        <w:t xml:space="preserve">31. 建立多目标优化模型，综合考虑时间、成本、设备利用率等多个指标。</w:t>
      </w:r>
    </w:p>
    <w:p>
      <w:pPr>
        <w:pStyle w:val="Heading1"/>
        <w:spacing w:after="200" w:before="360" w:line="360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参考文献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[1] 钱颂迪. 运筹学(修订版)[M]. 北京: 清华大学出版社, 1990.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[2] 姜启源, 谢金星, 叶俊. 数学模型(第五版)[M]. 北京: 高等教育出版社, 2018.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[3] Pinedo M L. Scheduling: Theory, Algorithms, and Systems (5th Edition)[M]. New York: Springer, 2016.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[4] Brucker P. Scheduling Algorithms (5th Edition)[M]. Berlin: Springer, 2007.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[5] Holland J H. Adaptation in Natural and Artificial Systems[M]. Ann Arbor: University of Michigan Press, 1975.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[6] 刘宝碁, 赵瑞清, 王纲. 随机规划与模糊规划[M]. 北京: 清华大学出版社, 1998.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[7] 白国仲. 运筹学基础[M]. 北京: 科学出版社, 2008.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[8] 邓聚龙. 灰色系统理论[M]. 武汉: 华中科技大学出版社, 2002.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[9] Goldberg D E. Genetic Algorithms in Search, Optimization and Machine Learning[M]. Boston: Addison-Wesley, 1989.</w:t>
      </w:r>
    </w:p>
    <w:p>
      <w:pPr>
        <w:spacing w:after="60" w:before="0" w:line="300"/>
        <w:ind/>
        <w:jc w:val="both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[10] 王凌. 车间调度及其遗传算法[M]. 北京: 清华大学出版社, 2003.</w:t>
      </w:r>
    </w:p>
    <w:sectPr>
      <w:headerReference w:type="default" r:id="rId10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sz w:val="18"/>
        <w:szCs w:val="18"/>
      </w:rPr>
      <w:t xml:space="preserve">— </w:t>
    </w:r>
    <w:r>
      <w:rPr>
        <w:rFonts w:ascii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SimSun" w:hAnsi="Times New Roman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eastAsia="SimSun" w:hAnsi="Times New Roman"/>
        <w:color w:val="888888"/>
        <w:sz w:val="18"/>
        <w:szCs w:val="18"/>
      </w:rPr>
      <w:t xml:space="preserve">多工序协同作业问题 — 数学建模论文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40"/>
      <w:outlineLvl w:val="1"/>
    </w:pPr>
    <w:rPr>
      <w:rFonts w:ascii="Times New Roman" w:eastAsia="黑体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2026-06-06T07:34:23.956Z</dcterms:created>
  <dcterms:modified xsi:type="dcterms:W3CDTF">2026-06-06T07:34:23.958Z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