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3" w:lineRule="auto" w:after="160"/>
        <w:jc w:val="center"/>
      </w:pPr>
      <w:r>
        <w:rPr>
          <w:rFonts w:ascii="Times New Roman" w:hAnsi="Times New Roman" w:eastAsia="SimHei"/>
          <w:b/>
          <w:sz w:val="36"/>
        </w:rPr>
        <w:t>本科毕业论文（设计）任务书</w:t>
      </w:r>
    </w:p>
    <w:tbl>
      <w:tblPr>
        <w:tblW w:type="auto" w:w="0"/>
        <w:tblLayout w:type="autofit"/>
        <w:tblLook w:firstColumn="1" w:firstRow="1" w:lastColumn="0" w:lastRow="0" w:noHBand="0" w:noVBand="1" w:val="04A0"/>
      </w:tblPr>
      <w:tblGrid>
        <w:gridCol w:w="2211"/>
        <w:gridCol w:w="2211"/>
        <w:gridCol w:w="2211"/>
        <w:gridCol w:w="2211"/>
      </w:tblGrid>
      <w:tr>
        <w:tc>
          <w:tcPr>
            <w:tcW w:type="dxa" w:w="2211"/>
          </w:tcPr>
          <w:p>
            <w:pPr>
              <w:spacing w:line="240" w:lineRule="auto" w:after="0"/>
            </w:pPr>
            <w:r>
              <w:rPr>
                <w:rFonts w:ascii="Times New Roman" w:hAnsi="Times New Roman" w:eastAsia="SimHei"/>
                <w:b/>
                <w:sz w:val="19"/>
              </w:rPr>
              <w:t>论文题目</w:t>
            </w:r>
          </w:p>
        </w:tc>
        <w:tc>
          <w:tcPr>
            <w:tcW w:type="dxa" w:w="2211"/>
          </w:tcPr>
          <w:p>
            <w:pPr>
              <w:spacing w:line="240" w:lineRule="auto" w:after="0"/>
            </w:pPr>
            <w:r>
              <w:rPr>
                <w:rFonts w:ascii="Times New Roman" w:hAnsi="Times New Roman" w:eastAsia="SimSun"/>
                <w:b w:val="0"/>
                <w:sz w:val="19"/>
              </w:rPr>
              <w:t>基于 KAN 超图的药物协同预测研究</w:t>
            </w:r>
          </w:p>
        </w:tc>
        <w:tc>
          <w:tcPr>
            <w:tcW w:type="dxa" w:w="2211"/>
          </w:tcPr>
          <w:p>
            <w:pPr>
              <w:spacing w:line="240" w:lineRule="auto" w:after="0"/>
            </w:pPr>
            <w:r>
              <w:rPr>
                <w:rFonts w:ascii="Times New Roman" w:hAnsi="Times New Roman" w:eastAsia="SimHei"/>
                <w:b/>
                <w:sz w:val="19"/>
              </w:rPr>
              <w:t>学生姓名</w:t>
            </w:r>
          </w:p>
        </w:tc>
        <w:tc>
          <w:tcPr>
            <w:tcW w:type="dxa" w:w="2211"/>
          </w:tcPr>
          <w:p>
            <w:pPr>
              <w:spacing w:line="240" w:lineRule="auto" w:after="0"/>
            </w:pPr>
            <w:r>
              <w:rPr>
                <w:rFonts w:ascii="Times New Roman" w:hAnsi="Times New Roman" w:eastAsia="SimSun"/>
                <w:b w:val="0"/>
                <w:sz w:val="19"/>
              </w:rPr>
              <w:t>赵新宇</w:t>
            </w:r>
          </w:p>
        </w:tc>
      </w:tr>
      <w:tr>
        <w:tc>
          <w:tcPr>
            <w:tcW w:type="dxa" w:w="2211"/>
          </w:tcPr>
          <w:p>
            <w:pPr>
              <w:spacing w:line="240" w:lineRule="auto" w:after="0"/>
            </w:pPr>
            <w:r>
              <w:rPr>
                <w:rFonts w:ascii="Times New Roman" w:hAnsi="Times New Roman" w:eastAsia="SimHei"/>
                <w:b/>
                <w:sz w:val="19"/>
              </w:rPr>
              <w:t>学号</w:t>
            </w:r>
          </w:p>
        </w:tc>
        <w:tc>
          <w:tcPr>
            <w:tcW w:type="dxa" w:w="2211"/>
          </w:tcPr>
          <w:p>
            <w:pPr>
              <w:spacing w:line="240" w:lineRule="auto" w:after="0"/>
            </w:pPr>
            <w:r>
              <w:rPr>
                <w:rFonts w:ascii="Times New Roman" w:hAnsi="Times New Roman" w:eastAsia="SimSun"/>
                <w:b w:val="0"/>
                <w:sz w:val="19"/>
              </w:rPr>
              <w:t>202200130116</w:t>
            </w:r>
          </w:p>
        </w:tc>
        <w:tc>
          <w:tcPr>
            <w:tcW w:type="dxa" w:w="2211"/>
          </w:tcPr>
          <w:p>
            <w:pPr>
              <w:spacing w:line="240" w:lineRule="auto" w:after="0"/>
            </w:pPr>
            <w:r>
              <w:rPr>
                <w:rFonts w:ascii="Times New Roman" w:hAnsi="Times New Roman" w:eastAsia="SimHei"/>
                <w:b/>
                <w:sz w:val="19"/>
              </w:rPr>
              <w:t>专业</w:t>
            </w:r>
          </w:p>
        </w:tc>
        <w:tc>
          <w:tcPr>
            <w:tcW w:type="dxa" w:w="2211"/>
          </w:tcPr>
          <w:p>
            <w:pPr>
              <w:spacing w:line="240" w:lineRule="auto" w:after="0"/>
            </w:pPr>
            <w:r>
              <w:rPr>
                <w:rFonts w:ascii="Times New Roman" w:hAnsi="Times New Roman" w:eastAsia="SimSun"/>
                <w:b w:val="0"/>
                <w:sz w:val="19"/>
              </w:rPr>
              <w:t>计算机科学与技术</w:t>
            </w:r>
          </w:p>
        </w:tc>
      </w:tr>
      <w:tr>
        <w:tc>
          <w:tcPr>
            <w:tcW w:type="dxa" w:w="2211"/>
          </w:tcPr>
          <w:p>
            <w:pPr>
              <w:spacing w:line="240" w:lineRule="auto" w:after="0"/>
            </w:pPr>
            <w:r>
              <w:rPr>
                <w:rFonts w:ascii="Times New Roman" w:hAnsi="Times New Roman" w:eastAsia="SimHei"/>
                <w:b/>
                <w:sz w:val="19"/>
              </w:rPr>
              <w:t>学院</w:t>
            </w:r>
          </w:p>
        </w:tc>
        <w:tc>
          <w:tcPr>
            <w:tcW w:type="dxa" w:w="2211"/>
          </w:tcPr>
          <w:p>
            <w:pPr>
              <w:spacing w:line="240" w:lineRule="auto" w:after="0"/>
            </w:pPr>
            <w:r>
              <w:rPr>
                <w:rFonts w:ascii="Times New Roman" w:hAnsi="Times New Roman" w:eastAsia="SimSun"/>
                <w:b w:val="0"/>
                <w:sz w:val="19"/>
              </w:rPr>
              <w:t>计算机科学与技术学院</w:t>
            </w:r>
          </w:p>
        </w:tc>
        <w:tc>
          <w:tcPr>
            <w:tcW w:type="dxa" w:w="2211"/>
          </w:tcPr>
          <w:p>
            <w:pPr>
              <w:spacing w:line="240" w:lineRule="auto" w:after="0"/>
            </w:pPr>
            <w:r>
              <w:rPr>
                <w:rFonts w:ascii="Times New Roman" w:hAnsi="Times New Roman" w:eastAsia="SimHei"/>
                <w:b/>
                <w:sz w:val="19"/>
              </w:rPr>
              <w:t>指导教师</w:t>
            </w:r>
          </w:p>
        </w:tc>
        <w:tc>
          <w:tcPr>
            <w:tcW w:type="dxa" w:w="2211"/>
          </w:tcPr>
          <w:p>
            <w:pPr>
              <w:spacing w:line="240" w:lineRule="auto" w:after="0"/>
            </w:pPr>
            <w:r>
              <w:rPr>
                <w:rFonts w:ascii="Times New Roman" w:hAnsi="Times New Roman" w:eastAsia="SimSun"/>
                <w:b w:val="0"/>
                <w:sz w:val="19"/>
              </w:rPr>
              <w:t>崔学峰</w:t>
            </w:r>
          </w:p>
        </w:tc>
      </w:tr>
    </w:tbl>
    <w:p>
      <w:pPr>
        <w:spacing w:line="240" w:lineRule="auto" w:after="0"/>
      </w:pPr>
      <w:r>
        <w:rPr>
          <w:rFonts w:ascii="Times New Roman" w:hAnsi="Times New Roman" w:eastAsia="SimSun"/>
          <w:b w:val="0"/>
          <w:sz w:val="8"/>
        </w:rPr>
      </w:r>
    </w:p>
    <w:p>
      <w:pPr>
        <w:spacing w:line="259" w:lineRule="auto" w:after="20"/>
      </w:pPr>
      <w:r>
        <w:rPr>
          <w:rFonts w:ascii="Times New Roman" w:hAnsi="Times New Roman" w:eastAsia="SimHei"/>
          <w:b/>
          <w:sz w:val="22"/>
        </w:rPr>
        <w:t>1. 设计（论文）主要内容</w:t>
      </w:r>
    </w:p>
    <w:p>
      <w:pPr>
        <w:spacing w:line="283" w:lineRule="auto" w:after="100"/>
        <w:ind w:firstLine="420"/>
      </w:pPr>
      <w:r>
        <w:rPr>
          <w:rFonts w:ascii="Times New Roman" w:hAnsi="Times New Roman" w:eastAsia="SimSun"/>
          <w:b w:val="0"/>
          <w:sz w:val="21"/>
        </w:rPr>
        <w:t>本课题围绕药物组合协同效应预测问题开展研究。要求学生在查阅药物协同预测、图神经网络、超图神经网络以及 Kolmogorov-Arnold Network（KAN）相关文献的基础上，理解药物分子结构、细胞系表达特征与协同标签之间的关系。论文应以 DrugComb 等公开药物组合数据为基础，完成数据预处理、样本构建、模型设计、实验对比和结果分析等工作。重点研究 KAN 在预测头、药物图编码器以及 drug-drug-cell 结构化交互模块中的不同放置方式，并比较 Random split 与 Cold-drug split 场景下的模型表现。</w:t>
      </w:r>
    </w:p>
    <w:p>
      <w:pPr>
        <w:spacing w:line="259" w:lineRule="auto" w:after="20"/>
      </w:pPr>
      <w:r>
        <w:rPr>
          <w:rFonts w:ascii="Times New Roman" w:hAnsi="Times New Roman" w:eastAsia="SimHei"/>
          <w:b/>
          <w:sz w:val="22"/>
        </w:rPr>
        <w:t>2. 设计（论文）主要技术指标</w:t>
      </w:r>
    </w:p>
    <w:p>
      <w:pPr>
        <w:spacing w:line="283" w:lineRule="auto" w:after="100"/>
        <w:ind w:firstLine="420"/>
      </w:pPr>
      <w:r>
        <w:rPr>
          <w:rFonts w:ascii="Times New Roman" w:hAnsi="Times New Roman" w:eastAsia="SimSun"/>
          <w:b w:val="0"/>
          <w:sz w:val="21"/>
        </w:rPr>
        <w:t>完成不少于一个可运行的药物协同预测实验流程，能够实现数据读取、分子图构建、模型训练、验证和测试。模型应至少包含一个基础对照模型和若干 KAN 相关变体。分类任务建议采用 AUPR、AUC 等指标，回归任务建议采用 RMSE、MAE 等指标。论文中应给出必要的数据统计、模型结构图、实验结果表、消融分析和案例解释图，能够较清楚地反映模型在已知药物插值预测和未见药物泛化预测中的差异。</w:t>
      </w:r>
    </w:p>
    <w:p>
      <w:pPr>
        <w:spacing w:line="259" w:lineRule="auto" w:after="20"/>
      </w:pPr>
      <w:r>
        <w:rPr>
          <w:rFonts w:ascii="Times New Roman" w:hAnsi="Times New Roman" w:eastAsia="SimHei"/>
          <w:b/>
          <w:sz w:val="22"/>
        </w:rPr>
        <w:t>3. 设计（论文）基本要求</w:t>
      </w:r>
    </w:p>
    <w:p>
      <w:pPr>
        <w:spacing w:line="283" w:lineRule="auto" w:after="100"/>
        <w:ind w:firstLine="420"/>
      </w:pPr>
      <w:r>
        <w:rPr>
          <w:rFonts w:ascii="Times New Roman" w:hAnsi="Times New Roman" w:eastAsia="SimSun"/>
          <w:b w:val="0"/>
          <w:sz w:val="21"/>
        </w:rPr>
        <w:t>学生应独立完成文献调研、实验设计、代码实现、结果整理和论文撰写工作。论文要求研究目标明确、技术路线清晰、实验过程真实、结果分析客观，不得只报告有利结果，应能对模型有效或无效的原因进行合理讨论。写作中注意本科毕业论文的规范性和完整性，图表、公式和参考文献引用应符合学校要求。对于模型性能提升幅度有限的情况，应如实分析其意义、局限和后续改进方向。</w:t>
      </w:r>
    </w:p>
    <w:p>
      <w:pPr>
        <w:spacing w:line="259" w:lineRule="auto" w:after="20"/>
      </w:pPr>
      <w:r>
        <w:rPr>
          <w:rFonts w:ascii="Times New Roman" w:hAnsi="Times New Roman" w:eastAsia="SimHei"/>
          <w:b/>
          <w:sz w:val="22"/>
        </w:rPr>
        <w:t>4. 应收集的资料及主要参考文献</w:t>
      </w:r>
    </w:p>
    <w:p>
      <w:pPr>
        <w:spacing w:line="283" w:lineRule="auto" w:after="80"/>
        <w:ind w:firstLine="420"/>
      </w:pPr>
      <w:r>
        <w:rPr>
          <w:rFonts w:ascii="Times New Roman" w:hAnsi="Times New Roman" w:eastAsia="SimSun"/>
          <w:b w:val="0"/>
          <w:sz w:val="21"/>
        </w:rPr>
        <w:t>应重点收集药物组合协同评价体系、公开药物组合数据库、分子图表示学习、图神经网络、超图神经网络、KAN 网络以及可解释机器学习等方面的资料。文献阅读时应注意区分数据资源类、方法模型类和评价解释类工作，结合本课题实验设计说明各类文献对论文的支撑作用。</w:t>
      </w:r>
    </w:p>
    <w:p>
      <w:pPr>
        <w:spacing w:line="252" w:lineRule="auto" w:after="20"/>
        <w:ind w:left="408" w:hanging="408"/>
      </w:pPr>
      <w:r>
        <w:rPr>
          <w:rFonts w:ascii="Times New Roman" w:hAnsi="Times New Roman" w:eastAsia="SimSun"/>
          <w:b w:val="0"/>
          <w:sz w:val="18"/>
        </w:rPr>
        <w:t>[1] Zagidullin B, Aldahdooh J, Zheng S, et al. DrugComb: an integrative cancer drug combination data portal[J]. Nucleic Acids Research, 2019, 47(W1): W43-W51.</w:t>
      </w:r>
    </w:p>
    <w:p>
      <w:pPr>
        <w:spacing w:line="252" w:lineRule="auto" w:after="20"/>
        <w:ind w:left="408" w:hanging="408"/>
      </w:pPr>
      <w:r>
        <w:rPr>
          <w:rFonts w:ascii="Times New Roman" w:hAnsi="Times New Roman" w:eastAsia="SimSun"/>
          <w:b w:val="0"/>
          <w:sz w:val="18"/>
        </w:rPr>
        <w:t>[2] Zheng S, Aldahdooh J, Shadbahr T, et al. DrugComb update: a more comprehensive drug sensitivity data repository and analysis portal[J]. Nucleic Acids Research, 2021, 49(W1): W174-W184.</w:t>
      </w:r>
    </w:p>
    <w:p>
      <w:pPr>
        <w:spacing w:line="252" w:lineRule="auto" w:after="20"/>
        <w:ind w:left="408" w:hanging="408"/>
      </w:pPr>
      <w:r>
        <w:rPr>
          <w:rFonts w:ascii="Times New Roman" w:hAnsi="Times New Roman" w:eastAsia="SimSun"/>
          <w:b w:val="0"/>
          <w:sz w:val="18"/>
        </w:rPr>
        <w:t>[3] Holbeck S L, Camalier R, Crowell J A, et al. The National Cancer Institute ALMANAC: a comprehensive screening resource for the detection of anticancer drug pairs with enhanced therapeutic activity[J]. Cancer Research, 2017, 77(13): 3564-3576.</w:t>
      </w:r>
    </w:p>
    <w:p>
      <w:pPr>
        <w:spacing w:line="252" w:lineRule="auto" w:after="20"/>
        <w:ind w:left="408" w:hanging="408"/>
      </w:pPr>
      <w:r>
        <w:rPr>
          <w:rFonts w:ascii="Times New Roman" w:hAnsi="Times New Roman" w:eastAsia="SimSun"/>
          <w:b w:val="0"/>
          <w:sz w:val="18"/>
        </w:rPr>
        <w:t>[4] Preuer K, Lewis R P I, Hochreiter S, et al. DeepSynergy: predicting anti-cancer drug synergy with deep learning[J]. Bioinformatics, 2018, 34(9): 1538-1546.</w:t>
      </w:r>
    </w:p>
    <w:p>
      <w:pPr>
        <w:spacing w:line="252" w:lineRule="auto" w:after="20"/>
        <w:ind w:left="408" w:hanging="408"/>
      </w:pPr>
      <w:r>
        <w:rPr>
          <w:rFonts w:ascii="Times New Roman" w:hAnsi="Times New Roman" w:eastAsia="SimSun"/>
          <w:b w:val="0"/>
          <w:sz w:val="18"/>
        </w:rPr>
        <w:t>[5] Ianevski A, Giri A K, Aittokallio T. SynergyFinder 2.0: visual analytics of multi-drug combination synergies[J]. Nucleic Acids Research, 2020, 48(W1): W488-W493.</w:t>
      </w:r>
    </w:p>
    <w:p>
      <w:pPr>
        <w:spacing w:line="252" w:lineRule="auto" w:after="20"/>
        <w:ind w:left="408" w:hanging="408"/>
      </w:pPr>
      <w:r>
        <w:rPr>
          <w:rFonts w:ascii="Times New Roman" w:hAnsi="Times New Roman" w:eastAsia="SimSun"/>
          <w:b w:val="0"/>
          <w:sz w:val="18"/>
        </w:rPr>
        <w:t>[6] Wooten D J, Meyer C T, Lubbock A L R, et al. MuSyC is a consensus framework that unifies multi-drug synergy metrics for combinatorial drug discovery[J]. Nature Communications, 2021, 12: 4607.</w:t>
      </w:r>
    </w:p>
    <w:p>
      <w:pPr>
        <w:spacing w:line="252" w:lineRule="auto" w:after="20"/>
        <w:ind w:left="408" w:hanging="408"/>
      </w:pPr>
      <w:r>
        <w:rPr>
          <w:rFonts w:ascii="Times New Roman" w:hAnsi="Times New Roman" w:eastAsia="SimSun"/>
          <w:b w:val="0"/>
          <w:sz w:val="18"/>
        </w:rPr>
        <w:t>[7] Kipf T N, Welling M. Semi-supervised classification with graph convolutional networks[EB/OL]. arXiv:1609.02907, 2016.</w:t>
      </w:r>
    </w:p>
    <w:p>
      <w:pPr>
        <w:spacing w:line="252" w:lineRule="auto" w:after="20"/>
        <w:ind w:left="408" w:hanging="408"/>
      </w:pPr>
      <w:r>
        <w:rPr>
          <w:rFonts w:ascii="Times New Roman" w:hAnsi="Times New Roman" w:eastAsia="SimSun"/>
          <w:b w:val="0"/>
          <w:sz w:val="18"/>
        </w:rPr>
        <w:t>[8] Gilmer J, Schoenholz S S, Riley P F, et al. Neural message passing for quantum chemistry[EB/OL]. arXiv:1704.01212, 2017.</w:t>
      </w:r>
    </w:p>
    <w:p>
      <w:pPr>
        <w:spacing w:line="252" w:lineRule="auto" w:after="20"/>
        <w:ind w:left="408" w:hanging="408"/>
      </w:pPr>
      <w:r>
        <w:rPr>
          <w:rFonts w:ascii="Times New Roman" w:hAnsi="Times New Roman" w:eastAsia="SimSun"/>
          <w:b w:val="0"/>
          <w:sz w:val="18"/>
        </w:rPr>
        <w:t>[9] Velickovic P, Cucurull G, Casanova A, et al. Graph attention networks[EB/OL]. arXiv:1710.10903, 2017.</w:t>
      </w:r>
    </w:p>
    <w:p>
      <w:pPr>
        <w:spacing w:line="252" w:lineRule="auto" w:after="20"/>
        <w:ind w:left="408" w:hanging="408"/>
      </w:pPr>
      <w:r>
        <w:rPr>
          <w:rFonts w:ascii="Times New Roman" w:hAnsi="Times New Roman" w:eastAsia="SimSun"/>
          <w:b w:val="0"/>
          <w:sz w:val="18"/>
        </w:rPr>
        <w:t>[10] Liu X, Song C, Liu S, et al. Multi-way relation-enhanced hypergraph representation learning for anti-cancer drug synergy prediction[J]. Bioinformatics, 2022, 38(20): 4782-4789.</w:t>
      </w:r>
    </w:p>
    <w:p>
      <w:pPr>
        <w:spacing w:line="252" w:lineRule="auto" w:after="20"/>
        <w:ind w:left="408" w:hanging="408"/>
      </w:pPr>
      <w:r>
        <w:rPr>
          <w:rFonts w:ascii="Times New Roman" w:hAnsi="Times New Roman" w:eastAsia="SimSun"/>
          <w:b w:val="0"/>
          <w:sz w:val="18"/>
        </w:rPr>
        <w:t>[11] Schwarz K, Pliego-Mendieta A, Mollaysa A, et al. DDoS: a graph neural network based drug synergy prediction algorithm[C]//Proceedings of the Fifth Conference on Health, Inference, and Learning. PMLR, 2024, 248: 24-38.</w:t>
      </w:r>
    </w:p>
    <w:p>
      <w:pPr>
        <w:spacing w:line="252" w:lineRule="auto" w:after="20"/>
        <w:ind w:left="408" w:hanging="408"/>
      </w:pPr>
      <w:r>
        <w:rPr>
          <w:rFonts w:ascii="Times New Roman" w:hAnsi="Times New Roman" w:eastAsia="SimSun"/>
          <w:b w:val="0"/>
          <w:sz w:val="18"/>
        </w:rPr>
        <w:t>[12] Liu Z, Wang Y, Vaidya S, et al. KAN: Kolmogorov-Arnold Networks[EB/OL]. arXiv:2404.19756, 2024.</w:t>
      </w:r>
    </w:p>
    <w:p>
      <w:pPr>
        <w:spacing w:line="252" w:lineRule="auto" w:after="20"/>
        <w:ind w:left="408" w:hanging="408"/>
      </w:pPr>
      <w:r>
        <w:rPr>
          <w:rFonts w:ascii="Times New Roman" w:hAnsi="Times New Roman" w:eastAsia="SimSun"/>
          <w:b w:val="0"/>
          <w:sz w:val="18"/>
        </w:rPr>
        <w:t>[13] Li L, Zhang Y, Wang G, Xia K. Kolmogorov-Arnold graph neural networks for molecular property prediction[J]. Nature Machine Intelligence, 2025, 7: 1346-1354.</w:t>
      </w:r>
    </w:p>
    <w:p>
      <w:pPr>
        <w:spacing w:line="252" w:lineRule="auto" w:after="20"/>
        <w:ind w:left="408" w:hanging="408"/>
      </w:pPr>
      <w:r>
        <w:rPr>
          <w:rFonts w:ascii="Times New Roman" w:hAnsi="Times New Roman" w:eastAsia="SimSun"/>
          <w:b w:val="0"/>
          <w:sz w:val="18"/>
        </w:rPr>
        <w:t>[14] 纪守领, 李进锋, 杜天宇, 等. 机器学习模型可解释性方法、应用与安全研究综述[J]. 计算机研究与发展, 2019, 56(10): 2071-2096.</w:t>
      </w:r>
    </w:p>
    <w:p>
      <w:pPr>
        <w:spacing w:line="252" w:lineRule="auto" w:after="20"/>
        <w:ind w:left="408" w:hanging="408"/>
      </w:pPr>
      <w:r>
        <w:rPr>
          <w:rFonts w:ascii="Times New Roman" w:hAnsi="Times New Roman" w:eastAsia="SimSun"/>
          <w:b w:val="0"/>
          <w:sz w:val="18"/>
        </w:rPr>
        <w:t>[15] 李凌敏, 侯梦然, 陈琨, 刘军民. 深度学习的可解释性研究综述[J]. 计算机应用, 2022, 42(12): 3639-3650.</w:t>
      </w:r>
    </w:p>
    <w:p>
      <w:pPr>
        <w:spacing w:line="240" w:lineRule="auto" w:after="20"/>
      </w:pPr>
      <w:r>
        <w:rPr>
          <w:rFonts w:ascii="Times New Roman" w:hAnsi="Times New Roman" w:eastAsia="SimSun"/>
          <w:b w:val="0"/>
          <w:sz w:val="10"/>
        </w:rPr>
      </w:r>
    </w:p>
    <w:p>
      <w:pPr>
        <w:spacing w:line="240" w:lineRule="auto" w:after="0"/>
        <w:jc w:val="right"/>
      </w:pPr>
      <w:r>
        <w:rPr>
          <w:rFonts w:ascii="Times New Roman" w:hAnsi="Times New Roman" w:eastAsia="SimSun"/>
          <w:b w:val="0"/>
          <w:sz w:val="21"/>
        </w:rPr>
        <w:t>指导教师签名：　　　　　　　年　　月　　日</w:t>
      </w:r>
    </w:p>
    <w:sectPr w:rsidR="00FC693F" w:rsidRPr="0006063C" w:rsidSect="00034616">
      <w:pgSz w:w="11906" w:h="16838"/>
      <w:pgMar w:top="1247" w:right="1531"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