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line="276"/>
        <w:jc w:val="center"/>
      </w:pPr>
      <w:r>
        <w:rPr>
          <w:rFonts w:ascii="Times New Roman" w:cs="Times New Roman" w:eastAsia="Times New Roman" w:hAnsi="Times New Roman"/>
          <w:b/>
          <w:bCs/>
          <w:i w:val="false"/>
          <w:iCs w:val="false"/>
          <w:sz w:val="28"/>
          <w:szCs w:val="28"/>
        </w:rPr>
        <w:t xml:space="preserve">Paddy Veri Seti Üzerinde Makine Öğrenmesi Algoritmalarının</w:t>
      </w:r>
    </w:p>
    <w:p>
      <w:pPr>
        <w:spacing w:after="200" w:before="0" w:line="276"/>
        <w:jc w:val="center"/>
      </w:pPr>
      <w:r>
        <w:rPr>
          <w:rFonts w:ascii="Times New Roman" w:cs="Times New Roman" w:eastAsia="Times New Roman" w:hAnsi="Times New Roman"/>
          <w:b/>
          <w:bCs/>
          <w:i w:val="false"/>
          <w:iCs w:val="false"/>
          <w:sz w:val="28"/>
          <w:szCs w:val="28"/>
        </w:rPr>
        <w:t xml:space="preserve">Karşılaştırmalı Analizi</w:t>
      </w:r>
    </w:p>
    <w:p>
      <w:pPr>
        <w:spacing w:after="80" w:before="60" w:line="276"/>
        <w:jc w:val="center"/>
      </w:pPr>
      <w:r>
        <w:rPr>
          <w:rFonts w:ascii="Times New Roman" w:cs="Times New Roman" w:eastAsia="Times New Roman" w:hAnsi="Times New Roman"/>
          <w:b w:val="false"/>
          <w:bCs w:val="false"/>
          <w:i/>
          <w:iCs/>
          <w:sz w:val="20"/>
          <w:szCs w:val="20"/>
        </w:rPr>
        <w:t xml:space="preserve">Bilgisayar Mühendisliği, Fen Bilimleri Enstitüsü, Gazi Üniversitesi, Ankara, Türkiye</w:t>
      </w:r>
    </w:p>
    <w:p>
      <w:pPr>
        <w:spacing w:after="240" w:before="0" w:line="276"/>
        <w:jc w:val="center"/>
      </w:pPr>
      <w:r>
        <w:rPr>
          <w:rFonts w:ascii="Times New Roman" w:cs="Times New Roman" w:eastAsia="Times New Roman" w:hAnsi="Times New Roman"/>
          <w:b w:val="false"/>
          <w:bCs w:val="false"/>
          <w:i/>
          <w:iCs/>
          <w:sz w:val="20"/>
          <w:szCs w:val="20"/>
        </w:rPr>
        <w:t xml:space="preserve">......@gazi.edu.tr</w:t>
      </w:r>
    </w:p>
    <w:p>
      <w:pPr>
        <w:spacing w:after="40" w:before="80" w:line="276"/>
        <w:jc w:val="both"/>
      </w:pPr>
      <w:r>
        <w:rPr>
          <w:rFonts w:ascii="Times New Roman" w:cs="Times New Roman" w:eastAsia="Times New Roman" w:hAnsi="Times New Roman"/>
          <w:b/>
          <w:bCs/>
          <w:i w:val="false"/>
          <w:iCs w:val="false"/>
          <w:sz w:val="20"/>
          <w:szCs w:val="20"/>
        </w:rPr>
        <w:t xml:space="preserve">ÖZET (Özet kısmı Times New Roman-10 punto)</w:t>
      </w:r>
    </w:p>
    <w:p>
      <w:pPr>
        <w:spacing w:after="100" w:before="0" w:line="276"/>
        <w:ind w:firstLine="0"/>
        <w:jc w:val="both"/>
      </w:pPr>
      <w:r>
        <w:rPr>
          <w:rFonts w:ascii="Times New Roman" w:cs="Times New Roman" w:eastAsia="Times New Roman" w:hAnsi="Times New Roman"/>
          <w:b w:val="false"/>
          <w:bCs w:val="false"/>
          <w:i w:val="false"/>
          <w:iCs w:val="false"/>
          <w:sz w:val="20"/>
          <w:szCs w:val="20"/>
        </w:rPr>
        <w:t xml:space="preserve">Bu çalışmada, UCI Makine Öğrenmesi Deposu'ndan elde edilen Paddy veri seti kullanılarak pirinç (paddy) çeşitlerinin sınıflandırılması amacıyla çeşitli makine öğrenmesi algoritmaları uygulanmıştır. 2789 örnek ve 45 özellikten oluşan veri seti üzerinde Rastgele Orman, Karar Ağacı, K-En Yakın Komşu, Lojistik Regresyon, Basit Bayes, CNN, YSA ve SVM algoritmaları test edilmiştir. Sonuçlar, Karar Ağacı ve YSA algoritmalarının %100 doğruluk oranıyla en yüksek performansı sergilediğini göstermiştir.</w:t>
      </w:r>
    </w:p>
    <w:p>
      <w:pPr>
        <w:spacing w:after="160" w:before="40" w:line="276"/>
        <w:jc w:val="both"/>
      </w:pPr>
      <w:r>
        <w:rPr>
          <w:rFonts w:ascii="Times New Roman" w:cs="Times New Roman" w:eastAsia="Times New Roman" w:hAnsi="Times New Roman"/>
          <w:b/>
          <w:bCs/>
          <w:i w:val="false"/>
          <w:iCs w:val="false"/>
          <w:sz w:val="20"/>
          <w:szCs w:val="20"/>
        </w:rPr>
        <w:t xml:space="preserve">Anahtar Kelimeler: Makine Öğrenmesi, Paddy Veri Seti, Sınıflandırma, Karar Ağacı, Rastgele Orman</w:t>
      </w:r>
    </w:p>
    <w:p>
      <w:pPr>
        <w:spacing w:after="80" w:before="120" w:line="276"/>
        <w:jc w:val="both"/>
      </w:pPr>
      <w:r>
        <w:rPr>
          <w:rFonts w:ascii="Times New Roman" w:cs="Times New Roman" w:eastAsia="Times New Roman" w:hAnsi="Times New Roman"/>
          <w:b/>
          <w:bCs/>
          <w:i w:val="false"/>
          <w:iCs w:val="false"/>
          <w:sz w:val="24"/>
          <w:szCs w:val="24"/>
        </w:rPr>
        <w:t xml:space="preserve">1. Giriş</w:t>
      </w:r>
    </w:p>
    <w:p>
      <w:pPr>
        <w:spacing w:after="80" w:before="0" w:line="276"/>
        <w:ind w:firstLine="720"/>
        <w:jc w:val="both"/>
      </w:pPr>
      <w:r>
        <w:rPr>
          <w:rFonts w:ascii="Times New Roman" w:cs="Times New Roman" w:eastAsia="Times New Roman" w:hAnsi="Times New Roman"/>
          <w:b w:val="false"/>
          <w:bCs w:val="false"/>
          <w:i w:val="false"/>
          <w:iCs w:val="false"/>
          <w:sz w:val="24"/>
          <w:szCs w:val="24"/>
        </w:rPr>
        <w:t xml:space="preserve">Tarım sektöründe verim tahminleri ve ürün çeşidi sınıflandırması, kaynakların verimli kullanılması açısından büyük önem taşımaktadır. Dünya nüfusunun yaklaşık yarısının temel besin kaynağı olan pirinç (paddy), üretiminin artırılması için akıllı sistemlerin geliştirilmesini zorunlu kılmaktadır. Bu çalışmada UCI Paddy veri seti kullanılarak farklı makine öğrenmesi algoritmaları karşılaştırmalı olarak değerlendirilmiştir.</w:t>
      </w:r>
    </w:p>
    <w:p>
      <w:pPr>
        <w:spacing w:after="80" w:before="120" w:line="276"/>
        <w:jc w:val="both"/>
      </w:pPr>
      <w:r>
        <w:rPr>
          <w:rFonts w:ascii="Times New Roman" w:cs="Times New Roman" w:eastAsia="Times New Roman" w:hAnsi="Times New Roman"/>
          <w:b/>
          <w:bCs/>
          <w:i w:val="false"/>
          <w:iCs w:val="false"/>
          <w:sz w:val="24"/>
          <w:szCs w:val="24"/>
        </w:rPr>
        <w:t xml:space="preserve">2. Materyal ve Yöntem</w:t>
      </w:r>
    </w:p>
    <w:p>
      <w:pPr>
        <w:spacing w:after="60" w:before="80" w:line="276"/>
        <w:jc w:val="both"/>
      </w:pPr>
      <w:r>
        <w:rPr>
          <w:rFonts w:ascii="Times New Roman" w:cs="Times New Roman" w:eastAsia="Times New Roman" w:hAnsi="Times New Roman"/>
          <w:b/>
          <w:bCs/>
          <w:i w:val="false"/>
          <w:iCs w:val="false"/>
          <w:sz w:val="24"/>
          <w:szCs w:val="24"/>
        </w:rPr>
        <w:t xml:space="preserve">2.1. Veri Seti</w:t>
      </w:r>
    </w:p>
    <w:p>
      <w:pPr>
        <w:spacing w:after="80" w:before="0" w:line="276"/>
        <w:ind w:firstLine="720"/>
        <w:jc w:val="both"/>
      </w:pPr>
      <w:r>
        <w:rPr>
          <w:rFonts w:ascii="Times New Roman" w:cs="Times New Roman" w:eastAsia="Times New Roman" w:hAnsi="Times New Roman"/>
          <w:b w:val="false"/>
          <w:bCs w:val="false"/>
          <w:i w:val="false"/>
          <w:iCs w:val="false"/>
          <w:sz w:val="24"/>
          <w:szCs w:val="24"/>
        </w:rPr>
        <w:t xml:space="preserve">Çalışmada kullanılan veri seti, UCI Makine Öğrenmesi Deposu'ndan (ID: 1186) temin edilen Paddy Dataset'tir (Subramaniyan, 2023). Veri seti 2789 örnek, 45 özellik ve 3 sınıftan (CO_43, ponmani, delux ponni) oluşmaktadır. Özellikler arasında tarım alanı, gübre miktarları, yağış, sıcaklık, nem ve rüzgar hızı gibi çevresel ve tarımsal parametreler yer almaktadır. Veri setinde eksik değer bulunmamaktadır.</w:t>
      </w:r>
    </w:p>
    <w:p>
      <w:pPr>
        <w:spacing w:after="60" w:before="80" w:line="276"/>
        <w:jc w:val="both"/>
      </w:pPr>
      <w:r>
        <w:rPr>
          <w:rFonts w:ascii="Times New Roman" w:cs="Times New Roman" w:eastAsia="Times New Roman" w:hAnsi="Times New Roman"/>
          <w:b/>
          <w:bCs/>
          <w:i w:val="false"/>
          <w:iCs w:val="false"/>
          <w:sz w:val="24"/>
          <w:szCs w:val="24"/>
        </w:rPr>
        <w:t xml:space="preserve">2.2. Kullanılan Makine Öğrenmesi Algoritmaları</w:t>
      </w:r>
    </w:p>
    <w:p>
      <w:pPr>
        <w:spacing w:after="80" w:before="0" w:line="276"/>
        <w:ind w:firstLine="720"/>
        <w:jc w:val="both"/>
      </w:pPr>
      <w:r>
        <w:rPr>
          <w:rFonts w:ascii="Times New Roman" w:cs="Times New Roman" w:eastAsia="Times New Roman" w:hAnsi="Times New Roman"/>
          <w:b w:val="false"/>
          <w:bCs w:val="false"/>
          <w:i w:val="false"/>
          <w:iCs w:val="false"/>
          <w:sz w:val="24"/>
          <w:szCs w:val="24"/>
        </w:rPr>
        <w:t xml:space="preserve">Çalışmada Rastgele Orman, Karar Ağacı, K-En Yakın Komşu (k=5), Lojistik Regresyon, Basit Bayes, CNN (MLP 128-64-32), YSA (MLP 64-32) ve SVM (RBF çekirdek) algoritmaları uygulanmıştır. Kategorik değişkenler LabelEncoder ile sayısallaştırılmış; mesafeye ve gradyana duyarlı algoritmalar için StandardScaler ölçeklemesi uygulanmıştır. Veri seti %80 eğitim / %20 test oranında bölünmüştür (random_state=42).</w:t>
      </w:r>
    </w:p>
    <w:p>
      <w:pPr>
        <w:spacing w:after="80" w:before="120" w:line="276"/>
        <w:jc w:val="both"/>
      </w:pPr>
      <w:r>
        <w:rPr>
          <w:rFonts w:ascii="Times New Roman" w:cs="Times New Roman" w:eastAsia="Times New Roman" w:hAnsi="Times New Roman"/>
          <w:b/>
          <w:bCs/>
          <w:i w:val="false"/>
          <w:iCs w:val="false"/>
          <w:sz w:val="24"/>
          <w:szCs w:val="24"/>
        </w:rPr>
        <w:t xml:space="preserve">3. Bulgular ve Tartışma</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Her algoritma için elde edilen doğruluk tahmin oranları Tablo 1'de sunulmaktadır. Karar Ağacı ve YSA algoritmaları 1,0000 doğruluk oranıyla en yüksek performansı elde etmiştir. Bu durum, veri setindeki özellikler ile çeşit etiketleri arasında güçlü doğrusal olmayan ilişkilerin varlığına işaret etmektedir. Basit Bayes ve SVM algoritmalarının görece düşük performansı ise veri setinin normal dağılım varsayımını karşılamamasından ve yüksek boyutlu kategorik yapısından kaynaklanmaktadır.</w:t>
      </w:r>
    </w:p>
    <w:p>
      <w:pPr>
        <w:spacing w:after="60" w:before="80" w:line="276"/>
        <w:jc w:val="both"/>
      </w:pPr>
      <w:r>
        <w:rPr>
          <w:rFonts w:ascii="Times New Roman" w:cs="Times New Roman" w:eastAsia="Times New Roman" w:hAnsi="Times New Roman"/>
          <w:b w:val="false"/>
          <w:bCs w:val="false"/>
          <w:i w:val="false"/>
          <w:iCs w:val="false"/>
          <w:sz w:val="22"/>
          <w:szCs w:val="22"/>
        </w:rPr>
        <w:t xml:space="preserve">Tablo 1. Elde edilen sonuçlar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c>
          <w:tcPr>
            <w:tcW w:type="dxa" w:w="5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22"/>
                <w:szCs w:val="22"/>
              </w:rPr>
              <w:t xml:space="preserve">Değerlendirme Kriterleri</w:t>
            </w:r>
          </w:p>
        </w:tc>
        <w:tc>
          <w:tcPr>
            <w:tcW w:type="dxa" w:w="4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Doğruluk Tahmin Oranı</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Rastgele Orman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2"/>
                <w:szCs w:val="22"/>
              </w:rPr>
              <w:t xml:space="preserve">0,9821</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22"/>
                <w:szCs w:val="22"/>
              </w:rPr>
              <w:t xml:space="preserve">Karar Ağacı</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1,0000</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K-En Yakın Komşu</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2"/>
                <w:szCs w:val="22"/>
              </w:rPr>
              <w:t xml:space="preserve">0,9211</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Lineer Regresyon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2"/>
                <w:szCs w:val="22"/>
              </w:rPr>
              <w:t xml:space="preserve">0,9946</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Basit Bayes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2"/>
                <w:szCs w:val="22"/>
              </w:rPr>
              <w:t xml:space="preserve">0,3584</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CNN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2"/>
                <w:szCs w:val="22"/>
              </w:rPr>
              <w:t xml:space="preserve">0,9749</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22"/>
                <w:szCs w:val="22"/>
              </w:rPr>
              <w:t xml:space="preserve">YSA</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1,0000</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SVM</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2"/>
                <w:szCs w:val="22"/>
              </w:rPr>
              <w:t xml:space="preserve">0,7079</w:t>
            </w:r>
          </w:p>
        </w:tc>
      </w:tr>
    </w:tbl>
    <w:p>
      <w:pPr>
        <w:spacing w:after="80" w:before="200" w:line="276"/>
        <w:jc w:val="both"/>
      </w:pPr>
      <w:r>
        <w:rPr>
          <w:rFonts w:ascii="Times New Roman" w:cs="Times New Roman" w:eastAsia="Times New Roman" w:hAnsi="Times New Roman"/>
          <w:b/>
          <w:bCs/>
          <w:i w:val="false"/>
          <w:iCs w:val="false"/>
          <w:sz w:val="24"/>
          <w:szCs w:val="24"/>
        </w:rPr>
        <w:t xml:space="preserve">4. Sonuç ve Öneriler</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Bu çalışmada UCI Paddy veri seti üzerinde sekiz farklı makine öğrenmesi algoritması karşılaştırmalı olarak test edilmiştir. Karar Ağacı ve YSA algoritmaları %100 doğruluk oranıyla öne çıkmıştır. Gelecek çalışmalarda Derin Öğrenme mimarileri ve özellik seçim yöntemlerinin birlikte kullanılmasıyla daha kapsamlı sonuçlar elde edilebilir. Ayrıca farklı paddy veri setleri üzerinde transfer öğrenme yöntemlerinin uygulanması önerilebilir.</w:t>
      </w:r>
    </w:p>
    <w:p>
      <w:pPr>
        <w:spacing w:after="80" w:before="120" w:line="276"/>
        <w:jc w:val="both"/>
      </w:pPr>
      <w:r>
        <w:rPr>
          <w:rFonts w:ascii="Times New Roman" w:cs="Times New Roman" w:eastAsia="Times New Roman" w:hAnsi="Times New Roman"/>
          <w:b/>
          <w:bCs/>
          <w:i w:val="false"/>
          <w:iCs w:val="false"/>
          <w:sz w:val="24"/>
          <w:szCs w:val="24"/>
        </w:rPr>
        <w:t xml:space="preserve">KAYNAKÇA</w:t>
      </w:r>
    </w:p>
    <w:p>
      <w:pPr>
        <w:spacing w:after="60" w:before="0" w:line="276"/>
        <w:ind w:firstLine="0"/>
        <w:jc w:val="both"/>
      </w:pPr>
      <w:r>
        <w:rPr>
          <w:rFonts w:ascii="Times New Roman" w:cs="Times New Roman" w:eastAsia="Times New Roman" w:hAnsi="Times New Roman"/>
          <w:b w:val="false"/>
          <w:bCs w:val="false"/>
          <w:i w:val="false"/>
          <w:iCs w:val="false"/>
          <w:sz w:val="20"/>
          <w:szCs w:val="20"/>
        </w:rPr>
        <w:t xml:space="preserve">1. Subramaniyan, M. (2023). Paddy Dataset [Dataset]. UCI Machine Learning Repository. https://doi.org/10.24432/C55W3J</w:t>
      </w:r>
    </w:p>
    <w:p>
      <w:pPr>
        <w:spacing w:after="60" w:before="0" w:line="276"/>
        <w:ind w:firstLine="0"/>
        <w:jc w:val="both"/>
      </w:pPr>
      <w:r>
        <w:rPr>
          <w:rFonts w:ascii="Times New Roman" w:cs="Times New Roman" w:eastAsia="Times New Roman" w:hAnsi="Times New Roman"/>
          <w:b w:val="false"/>
          <w:bCs w:val="false"/>
          <w:i w:val="false"/>
          <w:iCs w:val="false"/>
          <w:sz w:val="20"/>
          <w:szCs w:val="20"/>
        </w:rPr>
        <w:t xml:space="preserve">2. Muthukumaran S., John Peter K., Dilipkumar E., Savithri S., Senbagam K. (2023). A Hybrid Machine Learning Model with Combined Wrapper Feature Selection Techniques to Improve the Yield of Paddy. International Journal of Electronics and Communication Engineering.</w:t>
      </w:r>
    </w:p>
    <w:p>
      <w:pPr>
        <w:spacing w:after="60" w:before="0" w:line="276"/>
        <w:ind w:firstLine="0"/>
        <w:jc w:val="both"/>
      </w:pPr>
      <w:r>
        <w:rPr>
          <w:rFonts w:ascii="Times New Roman" w:cs="Times New Roman" w:eastAsia="Times New Roman" w:hAnsi="Times New Roman"/>
          <w:b w:val="false"/>
          <w:bCs w:val="false"/>
          <w:i w:val="false"/>
          <w:iCs w:val="false"/>
          <w:sz w:val="20"/>
          <w:szCs w:val="20"/>
        </w:rPr>
        <w:t xml:space="preserve">3. Breiman, L. (2001). Random forests. Machine Learning, 45(1), 5–32.</w:t>
      </w:r>
    </w:p>
    <w:p>
      <w:pPr>
        <w:spacing w:after="60" w:before="0" w:line="276"/>
        <w:ind w:firstLine="0"/>
        <w:jc w:val="both"/>
      </w:pPr>
      <w:r>
        <w:rPr>
          <w:rFonts w:ascii="Times New Roman" w:cs="Times New Roman" w:eastAsia="Times New Roman" w:hAnsi="Times New Roman"/>
          <w:b w:val="false"/>
          <w:bCs w:val="false"/>
          <w:i w:val="false"/>
          <w:iCs w:val="false"/>
          <w:sz w:val="20"/>
          <w:szCs w:val="20"/>
        </w:rPr>
        <w:t xml:space="preserve">4. Quinlan, J. R. (1986). Induction of decision trees. Machine Learning, 1(1), 81–106.</w:t>
      </w:r>
    </w:p>
    <w:p>
      <w:pPr>
        <w:spacing w:after="60" w:before="0" w:line="276"/>
        <w:ind w:firstLine="0"/>
        <w:jc w:val="both"/>
      </w:pPr>
      <w:r>
        <w:rPr>
          <w:rFonts w:ascii="Times New Roman" w:cs="Times New Roman" w:eastAsia="Times New Roman" w:hAnsi="Times New Roman"/>
          <w:b w:val="false"/>
          <w:bCs w:val="false"/>
          <w:i w:val="false"/>
          <w:iCs w:val="false"/>
          <w:sz w:val="20"/>
          <w:szCs w:val="20"/>
        </w:rPr>
        <w:t xml:space="preserve">5. Cover, T., &amp; Hart, P. (1967). Nearest neighbor pattern classification. IEEE Transactions on Information Theory, 13(1), 21–27.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2026-05-10T18:40:24.432Z</dcterms:created>
  <dcterms:modified xsi:type="dcterms:W3CDTF">2026-05-10T18:40:24.432Z</dcterms:modified>
</cp:coreProperties>
</file>

<file path=docProps/custom.xml><?xml version="1.0" encoding="utf-8"?>
<Properties xmlns="http://schemas.openxmlformats.org/officeDocument/2006/custom-properties" xmlns:vt="http://schemas.openxmlformats.org/officeDocument/2006/docPropsVTypes"/>
</file>