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BELGE 2: TASARIM RAPORU</w:t>
      </w:r>
    </w:p>
    <w:p>
      <w:pPr>
        <w:jc w:val="center"/>
      </w:pPr>
      <w:r>
        <w:rPr>
          <w:sz w:val="24"/>
        </w:rPr>
        <w:t>Mimari Tasarım, SOLID ve Tasarım Desenleri</w:t>
      </w:r>
    </w:p>
    <w:p>
      <w:pPr>
        <w:jc w:val="center"/>
      </w:pPr>
      <w:r>
        <w:rPr>
          <w:i/>
          <w:sz w:val="19"/>
        </w:rPr>
        <w:t>Tedarik Lojistik MVC Projesi</w:t>
      </w:r>
    </w:p>
    <w:p/>
    <w:p>
      <w:pPr>
        <w:pStyle w:val="Heading1"/>
      </w:pPr>
      <w:r>
        <w:t>1. Giriş</w:t>
      </w:r>
    </w:p>
    <w:p>
      <w:r>
        <w:t>Bu raporda sistemimizin tasarım kararlarını açıklıyorum. Tasarım aşamasında temel hedefim MVC mimarisini korumak, kodu öğrenci projesi seviyesinde anlaşılır bırakmak ve tasarım desenlerini gerçek sorunlara bağlamaktı. Bu nedenle her desen rastgele değil, sistemde karşılaşılan belirli bir problemi çözmek için kullanılmıştır.</w:t>
      </w:r>
    </w:p>
    <w:p>
      <w:pPr>
        <w:pStyle w:val="Heading1"/>
      </w:pPr>
      <w:r>
        <w:t>2. Mimari Tasarım</w:t>
      </w:r>
    </w:p>
    <w:p>
      <w:r>
        <w:t>Sistemimizde MVC mimarisi şu şekilde uygulanır: View katmanı kullanıcıdan seçimleri alır; Controller katmanı bu istekleri karşılar; Model katmanı sipariş, ürün, kullanıcı ve log gibi veri yapılarını temsil eder. Servis katmanı ise controller'ın içinde kalabalık duracak iş kurallarını taşır. Veri erişiminde AppDbContext ve repository yapısı kullanılır.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D9EAF7"/>
            <w:vAlign w:val="center"/>
          </w:tcPr>
          <w:p>
            <w:r/>
            <w:r>
              <w:rPr>
                <w:rFonts w:ascii="Calibri" w:hAnsi="Calibri"/>
                <w:b/>
                <w:sz w:val="16"/>
              </w:rPr>
              <w:t>Katman</w:t>
            </w:r>
          </w:p>
        </w:tc>
        <w:tc>
          <w:tcPr>
            <w:tcW w:type="dxa" w:w="3600"/>
            <w:shd w:fill="D9EAF7"/>
            <w:vAlign w:val="center"/>
          </w:tcPr>
          <w:p>
            <w:r/>
            <w:r>
              <w:rPr>
                <w:rFonts w:ascii="Calibri" w:hAnsi="Calibri"/>
                <w:b/>
                <w:sz w:val="16"/>
              </w:rPr>
              <w:t>Bileşenler</w:t>
            </w:r>
          </w:p>
        </w:tc>
        <w:tc>
          <w:tcPr>
            <w:tcW w:type="dxa" w:w="4320"/>
            <w:shd w:fill="D9EAF7"/>
            <w:vAlign w:val="center"/>
          </w:tcPr>
          <w:p>
            <w:r/>
            <w:r>
              <w:rPr>
                <w:rFonts w:ascii="Calibri" w:hAnsi="Calibri"/>
                <w:b/>
                <w:sz w:val="16"/>
              </w:rPr>
              <w:t>Veri Akışındaki Rolü</w:t>
            </w:r>
          </w:p>
        </w:tc>
      </w:tr>
      <w:tr>
        <w:tc>
          <w:tcPr>
            <w:tcW w:type="dxa" w:w="1728"/>
            <w:vAlign w:val="center"/>
          </w:tcPr>
          <w:p>
            <w:r/>
            <w:r>
              <w:rPr>
                <w:rFonts w:ascii="Calibri" w:hAnsi="Calibri"/>
                <w:b w:val="0"/>
                <w:sz w:val="16"/>
              </w:rPr>
              <w:t>View</w:t>
            </w:r>
          </w:p>
        </w:tc>
        <w:tc>
          <w:tcPr>
            <w:tcW w:type="dxa" w:w="3600"/>
            <w:vAlign w:val="center"/>
          </w:tcPr>
          <w:p>
            <w:r/>
            <w:r>
              <w:rPr>
                <w:rFonts w:ascii="Calibri" w:hAnsi="Calibri"/>
                <w:b w:val="0"/>
                <w:sz w:val="16"/>
              </w:rPr>
              <w:t>Customer.cshtml, Admin.cshtml, Logistics.cshtml, Login/Register ekranları</w:t>
            </w:r>
          </w:p>
        </w:tc>
        <w:tc>
          <w:tcPr>
            <w:tcW w:type="dxa" w:w="4320"/>
            <w:vAlign w:val="center"/>
          </w:tcPr>
          <w:p>
            <w:r/>
            <w:r>
              <w:rPr>
                <w:rFonts w:ascii="Calibri" w:hAnsi="Calibri"/>
                <w:b w:val="0"/>
                <w:sz w:val="16"/>
              </w:rPr>
              <w:t>Kullanıcıdan form verisi alır ve controller actionlarına gönderir.</w:t>
            </w:r>
          </w:p>
        </w:tc>
      </w:tr>
      <w:tr>
        <w:tc>
          <w:tcPr>
            <w:tcW w:type="dxa" w:w="1728"/>
            <w:vAlign w:val="center"/>
          </w:tcPr>
          <w:p>
            <w:r/>
            <w:r>
              <w:rPr>
                <w:rFonts w:ascii="Calibri" w:hAnsi="Calibri"/>
                <w:b w:val="0"/>
                <w:sz w:val="16"/>
              </w:rPr>
              <w:t>Controller</w:t>
            </w:r>
          </w:p>
        </w:tc>
        <w:tc>
          <w:tcPr>
            <w:tcW w:type="dxa" w:w="3600"/>
            <w:vAlign w:val="center"/>
          </w:tcPr>
          <w:p>
            <w:r/>
            <w:r>
              <w:rPr>
                <w:rFonts w:ascii="Calibri" w:hAnsi="Calibri"/>
                <w:b w:val="0"/>
                <w:sz w:val="16"/>
              </w:rPr>
              <w:t>HomeController, AccountController</w:t>
            </w:r>
          </w:p>
        </w:tc>
        <w:tc>
          <w:tcPr>
            <w:tcW w:type="dxa" w:w="4320"/>
            <w:vAlign w:val="center"/>
          </w:tcPr>
          <w:p>
            <w:r/>
            <w:r>
              <w:rPr>
                <w:rFonts w:ascii="Calibri" w:hAnsi="Calibri"/>
                <w:b w:val="0"/>
                <w:sz w:val="16"/>
              </w:rPr>
              <w:t>HTTP isteğini alır; servis, repository ve model sınıflarıyla akışı yönetir.</w:t>
            </w:r>
          </w:p>
        </w:tc>
      </w:tr>
      <w:tr>
        <w:tc>
          <w:tcPr>
            <w:tcW w:type="dxa" w:w="1728"/>
            <w:vAlign w:val="center"/>
          </w:tcPr>
          <w:p>
            <w:r/>
            <w:r>
              <w:rPr>
                <w:rFonts w:ascii="Calibri" w:hAnsi="Calibri"/>
                <w:b w:val="0"/>
                <w:sz w:val="16"/>
              </w:rPr>
              <w:t>Model</w:t>
            </w:r>
          </w:p>
        </w:tc>
        <w:tc>
          <w:tcPr>
            <w:tcW w:type="dxa" w:w="3600"/>
            <w:vAlign w:val="center"/>
          </w:tcPr>
          <w:p>
            <w:r/>
            <w:r>
              <w:rPr>
                <w:rFonts w:ascii="Calibri" w:hAnsi="Calibri"/>
                <w:b w:val="0"/>
                <w:sz w:val="16"/>
              </w:rPr>
              <w:t>Order, Product, AppUser, SystemLog, ViewModel sınıfları</w:t>
            </w:r>
          </w:p>
        </w:tc>
        <w:tc>
          <w:tcPr>
            <w:tcW w:type="dxa" w:w="4320"/>
            <w:vAlign w:val="center"/>
          </w:tcPr>
          <w:p>
            <w:r/>
            <w:r>
              <w:rPr>
                <w:rFonts w:ascii="Calibri" w:hAnsi="Calibri"/>
                <w:b w:val="0"/>
                <w:sz w:val="16"/>
              </w:rPr>
              <w:t>İş verisini ve ekrana taşınacak veriyi temsil eder.</w:t>
            </w:r>
          </w:p>
        </w:tc>
      </w:tr>
      <w:tr>
        <w:tc>
          <w:tcPr>
            <w:tcW w:type="dxa" w:w="1728"/>
            <w:vAlign w:val="center"/>
          </w:tcPr>
          <w:p>
            <w:r/>
            <w:r>
              <w:rPr>
                <w:rFonts w:ascii="Calibri" w:hAnsi="Calibri"/>
                <w:b w:val="0"/>
                <w:sz w:val="16"/>
              </w:rPr>
              <w:t>Service</w:t>
            </w:r>
          </w:p>
        </w:tc>
        <w:tc>
          <w:tcPr>
            <w:tcW w:type="dxa" w:w="3600"/>
            <w:vAlign w:val="center"/>
          </w:tcPr>
          <w:p>
            <w:r/>
            <w:r>
              <w:rPr>
                <w:rFonts w:ascii="Calibri" w:hAnsi="Calibri"/>
                <w:b w:val="0"/>
                <w:sz w:val="16"/>
              </w:rPr>
              <w:t>OrderPricingService, ProductCatalogService, StockManager, AppLogger</w:t>
            </w:r>
          </w:p>
        </w:tc>
        <w:tc>
          <w:tcPr>
            <w:tcW w:type="dxa" w:w="4320"/>
            <w:vAlign w:val="center"/>
          </w:tcPr>
          <w:p>
            <w:r/>
            <w:r>
              <w:rPr>
                <w:rFonts w:ascii="Calibri" w:hAnsi="Calibri"/>
                <w:b w:val="0"/>
                <w:sz w:val="16"/>
              </w:rPr>
              <w:t>Kargo fiyatlandırma, ürün hazırlama, stok bildirimi ve loglama gibi iş kurallarını yürütür.</w:t>
            </w:r>
          </w:p>
        </w:tc>
      </w:tr>
      <w:tr>
        <w:tc>
          <w:tcPr>
            <w:tcW w:type="dxa" w:w="1728"/>
            <w:vAlign w:val="center"/>
          </w:tcPr>
          <w:p>
            <w:r/>
            <w:r>
              <w:rPr>
                <w:rFonts w:ascii="Calibri" w:hAnsi="Calibri"/>
                <w:b w:val="0"/>
                <w:sz w:val="16"/>
              </w:rPr>
              <w:t>Interface</w:t>
            </w:r>
          </w:p>
        </w:tc>
        <w:tc>
          <w:tcPr>
            <w:tcW w:type="dxa" w:w="3600"/>
            <w:vAlign w:val="center"/>
          </w:tcPr>
          <w:p>
            <w:r/>
            <w:r>
              <w:rPr>
                <w:rFonts w:ascii="Calibri" w:hAnsi="Calibri"/>
                <w:b w:val="0"/>
                <w:sz w:val="16"/>
              </w:rPr>
              <w:t>IShippingAdapter, IPaymentStrategy, IOrderState, IStockObserver vb.</w:t>
            </w:r>
          </w:p>
        </w:tc>
        <w:tc>
          <w:tcPr>
            <w:tcW w:type="dxa" w:w="4320"/>
            <w:vAlign w:val="center"/>
          </w:tcPr>
          <w:p>
            <w:r/>
            <w:r>
              <w:rPr>
                <w:rFonts w:ascii="Calibri" w:hAnsi="Calibri"/>
                <w:b w:val="0"/>
                <w:sz w:val="16"/>
              </w:rPr>
              <w:t>Somut sınıflara bağımlılığı azaltır ve DIP/OCP sağlar.</w:t>
            </w:r>
          </w:p>
        </w:tc>
      </w:tr>
      <w:tr>
        <w:tc>
          <w:tcPr>
            <w:tcW w:type="dxa" w:w="1728"/>
            <w:vAlign w:val="center"/>
          </w:tcPr>
          <w:p>
            <w:r/>
            <w:r>
              <w:rPr>
                <w:rFonts w:ascii="Calibri" w:hAnsi="Calibri"/>
                <w:b w:val="0"/>
                <w:sz w:val="16"/>
              </w:rPr>
              <w:t>Data</w:t>
            </w:r>
          </w:p>
        </w:tc>
        <w:tc>
          <w:tcPr>
            <w:tcW w:type="dxa" w:w="3600"/>
            <w:vAlign w:val="center"/>
          </w:tcPr>
          <w:p>
            <w:r/>
            <w:r>
              <w:rPr>
                <w:rFonts w:ascii="Calibri" w:hAnsi="Calibri"/>
                <w:b w:val="0"/>
                <w:sz w:val="16"/>
              </w:rPr>
              <w:t>AppDbContext, GenericRepository</w:t>
            </w:r>
          </w:p>
        </w:tc>
        <w:tc>
          <w:tcPr>
            <w:tcW w:type="dxa" w:w="4320"/>
            <w:vAlign w:val="center"/>
          </w:tcPr>
          <w:p>
            <w:r/>
            <w:r>
              <w:rPr>
                <w:rFonts w:ascii="Calibri" w:hAnsi="Calibri"/>
                <w:b w:val="0"/>
                <w:sz w:val="16"/>
              </w:rPr>
              <w:t>Veritabanı işlemlerini yürütür.</w:t>
            </w:r>
          </w:p>
        </w:tc>
      </w:tr>
    </w:tbl>
    <w:p/>
    <w:p>
      <w:pPr>
        <w:pStyle w:val="Heading1"/>
      </w:pPr>
      <w:r>
        <w:t>3. SOLID Prensiplerinin Uygulanması</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shd w:fill="D9EAF7"/>
            <w:vAlign w:val="center"/>
          </w:tcPr>
          <w:p>
            <w:r/>
            <w:r>
              <w:rPr>
                <w:rFonts w:ascii="Calibri" w:hAnsi="Calibri"/>
                <w:b/>
                <w:sz w:val="16"/>
              </w:rPr>
              <w:t>Prensip</w:t>
            </w:r>
          </w:p>
        </w:tc>
        <w:tc>
          <w:tcPr>
            <w:tcW w:type="dxa" w:w="3456"/>
            <w:shd w:fill="D9EAF7"/>
            <w:vAlign w:val="center"/>
          </w:tcPr>
          <w:p>
            <w:r/>
            <w:r>
              <w:rPr>
                <w:rFonts w:ascii="Calibri" w:hAnsi="Calibri"/>
                <w:b/>
                <w:sz w:val="16"/>
              </w:rPr>
              <w:t>Sistemdeki Somut Örnek</w:t>
            </w:r>
          </w:p>
        </w:tc>
        <w:tc>
          <w:tcPr>
            <w:tcW w:type="dxa" w:w="5184"/>
            <w:shd w:fill="D9EAF7"/>
            <w:vAlign w:val="center"/>
          </w:tcPr>
          <w:p>
            <w:r/>
            <w:r>
              <w:rPr>
                <w:rFonts w:ascii="Calibri" w:hAnsi="Calibri"/>
                <w:b/>
                <w:sz w:val="16"/>
              </w:rPr>
              <w:t>Açıklama</w:t>
            </w:r>
          </w:p>
        </w:tc>
      </w:tr>
      <w:tr>
        <w:tc>
          <w:tcPr>
            <w:tcW w:type="dxa" w:w="1152"/>
            <w:vAlign w:val="center"/>
          </w:tcPr>
          <w:p>
            <w:r/>
            <w:r>
              <w:rPr>
                <w:rFonts w:ascii="Calibri" w:hAnsi="Calibri"/>
                <w:b w:val="0"/>
                <w:sz w:val="16"/>
              </w:rPr>
              <w:t>SRP</w:t>
            </w:r>
          </w:p>
        </w:tc>
        <w:tc>
          <w:tcPr>
            <w:tcW w:type="dxa" w:w="3456"/>
            <w:vAlign w:val="center"/>
          </w:tcPr>
          <w:p>
            <w:r/>
            <w:r>
              <w:rPr>
                <w:rFonts w:ascii="Calibri" w:hAnsi="Calibri"/>
                <w:b w:val="0"/>
                <w:sz w:val="16"/>
              </w:rPr>
              <w:t>OrderPricingService sadece kargo fiyat/takip hesaplama işini yapar.</w:t>
            </w:r>
          </w:p>
        </w:tc>
        <w:tc>
          <w:tcPr>
            <w:tcW w:type="dxa" w:w="5184"/>
            <w:vAlign w:val="center"/>
          </w:tcPr>
          <w:p>
            <w:r/>
            <w:r>
              <w:rPr>
                <w:rFonts w:ascii="Calibri" w:hAnsi="Calibri"/>
                <w:b w:val="0"/>
                <w:sz w:val="16"/>
              </w:rPr>
              <w:t>HomeController içinde kalabalıklaşacak kargo seçimi ve decorator zinciri ayrı servise taşınmıştır.</w:t>
            </w:r>
          </w:p>
        </w:tc>
      </w:tr>
      <w:tr>
        <w:tc>
          <w:tcPr>
            <w:tcW w:type="dxa" w:w="1152"/>
            <w:vAlign w:val="center"/>
          </w:tcPr>
          <w:p>
            <w:r/>
            <w:r>
              <w:rPr>
                <w:rFonts w:ascii="Calibri" w:hAnsi="Calibri"/>
                <w:b w:val="0"/>
                <w:sz w:val="16"/>
              </w:rPr>
              <w:t>OCP</w:t>
            </w:r>
          </w:p>
        </w:tc>
        <w:tc>
          <w:tcPr>
            <w:tcW w:type="dxa" w:w="3456"/>
            <w:vAlign w:val="center"/>
          </w:tcPr>
          <w:p>
            <w:r/>
            <w:r>
              <w:rPr>
                <w:rFonts w:ascii="Calibri" w:hAnsi="Calibri"/>
                <w:b w:val="0"/>
                <w:sz w:val="16"/>
              </w:rPr>
              <w:t>Yeni ödeme yöntemi IPaymentStrategy uygulanarak eklenebilir.</w:t>
            </w:r>
          </w:p>
        </w:tc>
        <w:tc>
          <w:tcPr>
            <w:tcW w:type="dxa" w:w="5184"/>
            <w:vAlign w:val="center"/>
          </w:tcPr>
          <w:p>
            <w:r/>
            <w:r>
              <w:rPr>
                <w:rFonts w:ascii="Calibri" w:hAnsi="Calibri"/>
                <w:b w:val="0"/>
                <w:sz w:val="16"/>
              </w:rPr>
              <w:t>Mevcut ödeme sınıflarını değiştirmeden yeni strateji eklenebilir.</w:t>
            </w:r>
          </w:p>
        </w:tc>
      </w:tr>
      <w:tr>
        <w:tc>
          <w:tcPr>
            <w:tcW w:type="dxa" w:w="1152"/>
            <w:vAlign w:val="center"/>
          </w:tcPr>
          <w:p>
            <w:r/>
            <w:r>
              <w:rPr>
                <w:rFonts w:ascii="Calibri" w:hAnsi="Calibri"/>
                <w:b w:val="0"/>
                <w:sz w:val="16"/>
              </w:rPr>
              <w:t>LSP</w:t>
            </w:r>
          </w:p>
        </w:tc>
        <w:tc>
          <w:tcPr>
            <w:tcW w:type="dxa" w:w="3456"/>
            <w:vAlign w:val="center"/>
          </w:tcPr>
          <w:p>
            <w:r/>
            <w:r>
              <w:rPr>
                <w:rFonts w:ascii="Calibri" w:hAnsi="Calibri"/>
                <w:b w:val="0"/>
                <w:sz w:val="16"/>
              </w:rPr>
              <w:t>SimpleProduct ve AssemblyProduct, Product yerine kullanılabilir.</w:t>
            </w:r>
          </w:p>
        </w:tc>
        <w:tc>
          <w:tcPr>
            <w:tcW w:type="dxa" w:w="5184"/>
            <w:vAlign w:val="center"/>
          </w:tcPr>
          <w:p>
            <w:r/>
            <w:r>
              <w:rPr>
                <w:rFonts w:ascii="Calibri" w:hAnsi="Calibri"/>
                <w:b w:val="0"/>
                <w:sz w:val="16"/>
              </w:rPr>
              <w:t>Her iki ürün tipi de ToplamAgirlikHesapla metodunu sağlar.</w:t>
            </w:r>
          </w:p>
        </w:tc>
      </w:tr>
      <w:tr>
        <w:tc>
          <w:tcPr>
            <w:tcW w:type="dxa" w:w="1152"/>
            <w:vAlign w:val="center"/>
          </w:tcPr>
          <w:p>
            <w:r/>
            <w:r>
              <w:rPr>
                <w:rFonts w:ascii="Calibri" w:hAnsi="Calibri"/>
                <w:b w:val="0"/>
                <w:sz w:val="16"/>
              </w:rPr>
              <w:t>ISP</w:t>
            </w:r>
          </w:p>
        </w:tc>
        <w:tc>
          <w:tcPr>
            <w:tcW w:type="dxa" w:w="3456"/>
            <w:vAlign w:val="center"/>
          </w:tcPr>
          <w:p>
            <w:r/>
            <w:r>
              <w:rPr>
                <w:rFonts w:ascii="Calibri" w:hAnsi="Calibri"/>
                <w:b w:val="0"/>
                <w:sz w:val="16"/>
              </w:rPr>
              <w:t>IPaymentStrategy sadece Pay, IShippingAdapter sadece kargo işlemleri içerir.</w:t>
            </w:r>
          </w:p>
        </w:tc>
        <w:tc>
          <w:tcPr>
            <w:tcW w:type="dxa" w:w="5184"/>
            <w:vAlign w:val="center"/>
          </w:tcPr>
          <w:p>
            <w:r/>
            <w:r>
              <w:rPr>
                <w:rFonts w:ascii="Calibri" w:hAnsi="Calibri"/>
                <w:b w:val="0"/>
                <w:sz w:val="16"/>
              </w:rPr>
              <w:t>Gereksiz metotları olan büyük interface yerine küçük arayüzler kullanılmıştır.</w:t>
            </w:r>
          </w:p>
        </w:tc>
      </w:tr>
      <w:tr>
        <w:tc>
          <w:tcPr>
            <w:tcW w:type="dxa" w:w="1152"/>
            <w:vAlign w:val="center"/>
          </w:tcPr>
          <w:p>
            <w:r/>
            <w:r>
              <w:rPr>
                <w:rFonts w:ascii="Calibri" w:hAnsi="Calibri"/>
                <w:b w:val="0"/>
                <w:sz w:val="16"/>
              </w:rPr>
              <w:t>DIP</w:t>
            </w:r>
          </w:p>
        </w:tc>
        <w:tc>
          <w:tcPr>
            <w:tcW w:type="dxa" w:w="3456"/>
            <w:vAlign w:val="center"/>
          </w:tcPr>
          <w:p>
            <w:r/>
            <w:r>
              <w:rPr>
                <w:rFonts w:ascii="Calibri" w:hAnsi="Calibri"/>
                <w:b w:val="0"/>
                <w:sz w:val="16"/>
              </w:rPr>
              <w:t>AdapterShippingCost, ArasAdapter'a değil IShippingAdapter'a bağımlıdır.</w:t>
            </w:r>
          </w:p>
        </w:tc>
        <w:tc>
          <w:tcPr>
            <w:tcW w:type="dxa" w:w="5184"/>
            <w:vAlign w:val="center"/>
          </w:tcPr>
          <w:p>
            <w:r/>
            <w:r>
              <w:rPr>
                <w:rFonts w:ascii="Calibri" w:hAnsi="Calibri"/>
                <w:b w:val="0"/>
                <w:sz w:val="16"/>
              </w:rPr>
              <w:t>Kargo API entegrasyonunda üst seviye hesaplama akışı somut firmalara değil soyut arayüze bağlıdır.</w:t>
            </w:r>
          </w:p>
        </w:tc>
      </w:tr>
    </w:tbl>
    <w:p/>
    <w:p>
      <w:pPr>
        <w:pStyle w:val="Heading2"/>
      </w:pPr>
      <w:r>
        <w:t>3.1 Dependency Inversion: Kargo API Entegrasyonu</w:t>
      </w:r>
    </w:p>
    <w:p>
      <w:r>
        <w:t>Dependency Inversion prensibini en net kargo entegrasyonunda gösteriyorum. Kargo fiyatlandırma akışı ArasAdapter, YurticiAdapter veya GlobalExpresAdapter sınıflarına doğrudan bağlanmaz. Bunun yerine IShippingAdapter arayüzü tanımlanır. Her kargo firması bu arayüzü uygular. OrderPricingService, factory üzerinden uygun adapterı alır ve AdapterShippingCost bu adapterı IShippingAdapter tipinde saklar.</w:t>
      </w:r>
    </w:p>
    <w:tbl>
      <w:tblPr>
        <w:tblW w:type="auto" w:w="0"/>
        <w:tblLook w:firstColumn="1" w:firstRow="1" w:lastColumn="0" w:lastRow="0" w:noHBand="0" w:noVBand="1" w:val="04A0"/>
      </w:tblPr>
      <w:tblGrid>
        <w:gridCol w:w="10166"/>
      </w:tblGrid>
      <w:tr>
        <w:tc>
          <w:tcPr>
            <w:tcW w:type="dxa" w:w="10166"/>
            <w:shd w:fill="F3F6F8"/>
          </w:tcPr>
          <w:p>
            <w:r/>
            <w:r>
              <w:rPr>
                <w:rFonts w:ascii="Consolas" w:hAnsi="Consolas"/>
                <w:sz w:val="16"/>
              </w:rPr>
              <w:t>public interface IShippingAdapter</w:t>
              <w:br/>
              <w:t>{</w:t>
              <w:br/>
              <w:t xml:space="preserve">    string CreateShipment(Order order);</w:t>
              <w:br/>
              <w:t xml:space="preserve">    decimal CalculateBasePrice(Order order, int distanceKm);</w:t>
              <w:br/>
              <w:t xml:space="preserve">    string CheckStatus(string trackingNumber);</w:t>
              <w:br/>
              <w:t>}</w:t>
              <w:br/>
              <w:br/>
              <w:t>public class ArasAdapter : IShippingAdapter { ... }</w:t>
              <w:br/>
              <w:t>public class YurticiAdapter : IShippingAdapter { ... }</w:t>
              <w:br/>
              <w:t>public class GlobalExpresAdapter : IShippingAdapter { ... }</w:t>
            </w:r>
          </w:p>
        </w:tc>
      </w:tr>
    </w:tbl>
    <w:p/>
    <w:p>
      <w:r>
        <w:t>Bu yapı sayesinde controller veya fiyatlandırma servisi hangi somut kargo sınıfı ile çalıştığını bilmez. Yeni bir kargo firması eklendiğinde yeni adapter yazılır ve factory içine eklenir; ana sipariş akışı değişmez.</w:t>
      </w:r>
    </w:p>
    <w:p>
      <w:pPr>
        <w:pStyle w:val="Heading1"/>
      </w:pPr>
      <w:r>
        <w:t>4. Tasarım Desenleri - Detaylı Açıklama</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296"/>
            <w:shd w:fill="D9EAF7"/>
            <w:vAlign w:val="center"/>
          </w:tcPr>
          <w:p>
            <w:r/>
            <w:r>
              <w:rPr>
                <w:rFonts w:ascii="Calibri" w:hAnsi="Calibri"/>
                <w:b/>
                <w:sz w:val="14"/>
              </w:rPr>
              <w:t>Desen</w:t>
            </w:r>
          </w:p>
        </w:tc>
        <w:tc>
          <w:tcPr>
            <w:tcW w:type="dxa" w:w="1296"/>
            <w:shd w:fill="D9EAF7"/>
            <w:vAlign w:val="center"/>
          </w:tcPr>
          <w:p>
            <w:r/>
            <w:r>
              <w:rPr>
                <w:rFonts w:ascii="Calibri" w:hAnsi="Calibri"/>
                <w:b/>
                <w:sz w:val="14"/>
              </w:rPr>
              <w:t>Kategori</w:t>
            </w:r>
          </w:p>
        </w:tc>
        <w:tc>
          <w:tcPr>
            <w:tcW w:type="dxa" w:w="2736"/>
            <w:shd w:fill="D9EAF7"/>
            <w:vAlign w:val="center"/>
          </w:tcPr>
          <w:p>
            <w:r/>
            <w:r>
              <w:rPr>
                <w:rFonts w:ascii="Calibri" w:hAnsi="Calibri"/>
                <w:b/>
                <w:sz w:val="14"/>
              </w:rPr>
              <w:t>Dahil Olan Sınıflar</w:t>
            </w:r>
          </w:p>
        </w:tc>
        <w:tc>
          <w:tcPr>
            <w:tcW w:type="dxa" w:w="2448"/>
            <w:shd w:fill="D9EAF7"/>
            <w:vAlign w:val="center"/>
          </w:tcPr>
          <w:p>
            <w:r/>
            <w:r>
              <w:rPr>
                <w:rFonts w:ascii="Calibri" w:hAnsi="Calibri"/>
                <w:b/>
                <w:sz w:val="14"/>
              </w:rPr>
              <w:t>Çözdüğü Problem</w:t>
            </w:r>
          </w:p>
        </w:tc>
        <w:tc>
          <w:tcPr>
            <w:tcW w:type="dxa" w:w="2592"/>
            <w:shd w:fill="D9EAF7"/>
            <w:vAlign w:val="center"/>
          </w:tcPr>
          <w:p>
            <w:r/>
            <w:r>
              <w:rPr>
                <w:rFonts w:ascii="Calibri" w:hAnsi="Calibri"/>
                <w:b/>
                <w:sz w:val="14"/>
              </w:rPr>
              <w:t>Alternatif ve Tercih Nedeni</w:t>
            </w:r>
          </w:p>
        </w:tc>
      </w:tr>
      <w:tr>
        <w:tc>
          <w:tcPr>
            <w:tcW w:type="dxa" w:w="1296"/>
            <w:vAlign w:val="center"/>
          </w:tcPr>
          <w:p>
            <w:r/>
            <w:r>
              <w:rPr>
                <w:rFonts w:ascii="Calibri" w:hAnsi="Calibri"/>
                <w:b w:val="0"/>
                <w:sz w:val="14"/>
              </w:rPr>
              <w:t>Singleton</w:t>
            </w:r>
          </w:p>
        </w:tc>
        <w:tc>
          <w:tcPr>
            <w:tcW w:type="dxa" w:w="1296"/>
            <w:vAlign w:val="center"/>
          </w:tcPr>
          <w:p>
            <w:r/>
            <w:r>
              <w:rPr>
                <w:rFonts w:ascii="Calibri" w:hAnsi="Calibri"/>
                <w:b w:val="0"/>
                <w:sz w:val="14"/>
              </w:rPr>
              <w:t>Creational</w:t>
            </w:r>
          </w:p>
        </w:tc>
        <w:tc>
          <w:tcPr>
            <w:tcW w:type="dxa" w:w="2736"/>
            <w:vAlign w:val="center"/>
          </w:tcPr>
          <w:p>
            <w:r/>
            <w:r>
              <w:rPr>
                <w:rFonts w:ascii="Calibri" w:hAnsi="Calibri"/>
                <w:b w:val="0"/>
                <w:sz w:val="14"/>
              </w:rPr>
              <w:t>AppLogger</w:t>
            </w:r>
          </w:p>
        </w:tc>
        <w:tc>
          <w:tcPr>
            <w:tcW w:type="dxa" w:w="2448"/>
            <w:vAlign w:val="center"/>
          </w:tcPr>
          <w:p>
            <w:r/>
            <w:r>
              <w:rPr>
                <w:rFonts w:ascii="Calibri" w:hAnsi="Calibri"/>
                <w:b w:val="0"/>
                <w:sz w:val="14"/>
              </w:rPr>
              <w:t>Kritik işlemlerin tek merkezden loglanması.</w:t>
            </w:r>
          </w:p>
        </w:tc>
        <w:tc>
          <w:tcPr>
            <w:tcW w:type="dxa" w:w="2592"/>
            <w:vAlign w:val="center"/>
          </w:tcPr>
          <w:p>
            <w:r/>
            <w:r>
              <w:rPr>
                <w:rFonts w:ascii="Calibri" w:hAnsi="Calibri"/>
                <w:b w:val="0"/>
                <w:sz w:val="14"/>
              </w:rPr>
              <w:t>Alternatif olarak doğrudan scoped logger kullanılabilirdi; ancak ödevde Singleton göstermek için AppLogger tek instance olarak tasarlandı.</w:t>
            </w:r>
          </w:p>
        </w:tc>
      </w:tr>
      <w:tr>
        <w:tc>
          <w:tcPr>
            <w:tcW w:type="dxa" w:w="1296"/>
            <w:vAlign w:val="center"/>
          </w:tcPr>
          <w:p>
            <w:r/>
            <w:r>
              <w:rPr>
                <w:rFonts w:ascii="Calibri" w:hAnsi="Calibri"/>
                <w:b w:val="0"/>
                <w:sz w:val="14"/>
              </w:rPr>
              <w:t>Factory Method / Simple Factory</w:t>
            </w:r>
          </w:p>
        </w:tc>
        <w:tc>
          <w:tcPr>
            <w:tcW w:type="dxa" w:w="1296"/>
            <w:vAlign w:val="center"/>
          </w:tcPr>
          <w:p>
            <w:r/>
            <w:r>
              <w:rPr>
                <w:rFonts w:ascii="Calibri" w:hAnsi="Calibri"/>
                <w:b w:val="0"/>
                <w:sz w:val="14"/>
              </w:rPr>
              <w:t>Creational</w:t>
            </w:r>
          </w:p>
        </w:tc>
        <w:tc>
          <w:tcPr>
            <w:tcW w:type="dxa" w:w="2736"/>
            <w:vAlign w:val="center"/>
          </w:tcPr>
          <w:p>
            <w:r/>
            <w:r>
              <w:rPr>
                <w:rFonts w:ascii="Calibri" w:hAnsi="Calibri"/>
                <w:b w:val="0"/>
                <w:sz w:val="14"/>
              </w:rPr>
              <w:t>ProductFactory, PaymentStrategyFactory, ShippingAdapterFactory, OrderStateFactory</w:t>
            </w:r>
          </w:p>
        </w:tc>
        <w:tc>
          <w:tcPr>
            <w:tcW w:type="dxa" w:w="2448"/>
            <w:vAlign w:val="center"/>
          </w:tcPr>
          <w:p>
            <w:r/>
            <w:r>
              <w:rPr>
                <w:rFonts w:ascii="Calibri" w:hAnsi="Calibri"/>
                <w:b w:val="0"/>
                <w:sz w:val="14"/>
              </w:rPr>
              <w:t>Hangi somut nesnenin üretileceği kararını tek noktaya toplar.</w:t>
            </w:r>
          </w:p>
        </w:tc>
        <w:tc>
          <w:tcPr>
            <w:tcW w:type="dxa" w:w="2592"/>
            <w:vAlign w:val="center"/>
          </w:tcPr>
          <w:p>
            <w:r/>
            <w:r>
              <w:rPr>
                <w:rFonts w:ascii="Calibri" w:hAnsi="Calibri"/>
                <w:b w:val="0"/>
                <w:sz w:val="14"/>
              </w:rPr>
              <w:t>Alternatif olarak switch-case controller içine yazılabilirdi; bu okunabilirliği düşürürdü.</w:t>
            </w:r>
          </w:p>
        </w:tc>
      </w:tr>
      <w:tr>
        <w:tc>
          <w:tcPr>
            <w:tcW w:type="dxa" w:w="1296"/>
            <w:vAlign w:val="center"/>
          </w:tcPr>
          <w:p>
            <w:r/>
            <w:r>
              <w:rPr>
                <w:rFonts w:ascii="Calibri" w:hAnsi="Calibri"/>
                <w:b w:val="0"/>
                <w:sz w:val="14"/>
              </w:rPr>
              <w:t>Adapter</w:t>
            </w:r>
          </w:p>
        </w:tc>
        <w:tc>
          <w:tcPr>
            <w:tcW w:type="dxa" w:w="1296"/>
            <w:vAlign w:val="center"/>
          </w:tcPr>
          <w:p>
            <w:r/>
            <w:r>
              <w:rPr>
                <w:rFonts w:ascii="Calibri" w:hAnsi="Calibri"/>
                <w:b w:val="0"/>
                <w:sz w:val="14"/>
              </w:rPr>
              <w:t>Structural</w:t>
            </w:r>
          </w:p>
        </w:tc>
        <w:tc>
          <w:tcPr>
            <w:tcW w:type="dxa" w:w="2736"/>
            <w:vAlign w:val="center"/>
          </w:tcPr>
          <w:p>
            <w:r/>
            <w:r>
              <w:rPr>
                <w:rFonts w:ascii="Calibri" w:hAnsi="Calibri"/>
                <w:b w:val="0"/>
                <w:sz w:val="14"/>
              </w:rPr>
              <w:t>IShippingAdapter, ArasAdapter, YurticiAdapter, GlobalExpresAdapter</w:t>
            </w:r>
          </w:p>
        </w:tc>
        <w:tc>
          <w:tcPr>
            <w:tcW w:type="dxa" w:w="2448"/>
            <w:vAlign w:val="center"/>
          </w:tcPr>
          <w:p>
            <w:r/>
            <w:r>
              <w:rPr>
                <w:rFonts w:ascii="Calibri" w:hAnsi="Calibri"/>
                <w:b w:val="0"/>
                <w:sz w:val="14"/>
              </w:rPr>
              <w:t>Farklı kargo firmalarını tek arayüz altında toplar.</w:t>
            </w:r>
          </w:p>
        </w:tc>
        <w:tc>
          <w:tcPr>
            <w:tcW w:type="dxa" w:w="2592"/>
            <w:vAlign w:val="center"/>
          </w:tcPr>
          <w:p>
            <w:r/>
            <w:r>
              <w:rPr>
                <w:rFonts w:ascii="Calibri" w:hAnsi="Calibri"/>
                <w:b w:val="0"/>
                <w:sz w:val="14"/>
              </w:rPr>
              <w:t>Facade kullanılabilirdi; ancak burada problem dış sistemleri tek tipe uyarlamak olduğu için Adapter daha uygundur.</w:t>
            </w:r>
          </w:p>
        </w:tc>
      </w:tr>
      <w:tr>
        <w:tc>
          <w:tcPr>
            <w:tcW w:type="dxa" w:w="1296"/>
            <w:vAlign w:val="center"/>
          </w:tcPr>
          <w:p>
            <w:r/>
            <w:r>
              <w:rPr>
                <w:rFonts w:ascii="Calibri" w:hAnsi="Calibri"/>
                <w:b w:val="0"/>
                <w:sz w:val="14"/>
              </w:rPr>
              <w:t>Decorator</w:t>
            </w:r>
          </w:p>
        </w:tc>
        <w:tc>
          <w:tcPr>
            <w:tcW w:type="dxa" w:w="1296"/>
            <w:vAlign w:val="center"/>
          </w:tcPr>
          <w:p>
            <w:r/>
            <w:r>
              <w:rPr>
                <w:rFonts w:ascii="Calibri" w:hAnsi="Calibri"/>
                <w:b w:val="0"/>
                <w:sz w:val="14"/>
              </w:rPr>
              <w:t>Structural</w:t>
            </w:r>
          </w:p>
        </w:tc>
        <w:tc>
          <w:tcPr>
            <w:tcW w:type="dxa" w:w="2736"/>
            <w:vAlign w:val="center"/>
          </w:tcPr>
          <w:p>
            <w:r/>
            <w:r>
              <w:rPr>
                <w:rFonts w:ascii="Calibri" w:hAnsi="Calibri"/>
                <w:b w:val="0"/>
                <w:sz w:val="14"/>
              </w:rPr>
              <w:t>IShippingCostCalculator, BaseShippingDecorator, InsuranceDecorator, FragileDecorator</w:t>
            </w:r>
          </w:p>
        </w:tc>
        <w:tc>
          <w:tcPr>
            <w:tcW w:type="dxa" w:w="2448"/>
            <w:vAlign w:val="center"/>
          </w:tcPr>
          <w:p>
            <w:r/>
            <w:r>
              <w:rPr>
                <w:rFonts w:ascii="Calibri" w:hAnsi="Calibri"/>
                <w:b w:val="0"/>
                <w:sz w:val="14"/>
              </w:rPr>
              <w:t>Kargo ücretine isteğe bağlı ek hizmetleri dinamik ekler.</w:t>
            </w:r>
          </w:p>
        </w:tc>
        <w:tc>
          <w:tcPr>
            <w:tcW w:type="dxa" w:w="2592"/>
            <w:vAlign w:val="center"/>
          </w:tcPr>
          <w:p>
            <w:r/>
            <w:r>
              <w:rPr>
                <w:rFonts w:ascii="Calibri" w:hAnsi="Calibri"/>
                <w:b w:val="0"/>
                <w:sz w:val="14"/>
              </w:rPr>
              <w:t>Strategy kullanılabilirdi; ancak birden fazla ek hizmetin birlikte zincirlenmesi gerektiği için Decorator seçildi.</w:t>
            </w:r>
          </w:p>
        </w:tc>
      </w:tr>
      <w:tr>
        <w:tc>
          <w:tcPr>
            <w:tcW w:type="dxa" w:w="1296"/>
            <w:vAlign w:val="center"/>
          </w:tcPr>
          <w:p>
            <w:r/>
            <w:r>
              <w:rPr>
                <w:rFonts w:ascii="Calibri" w:hAnsi="Calibri"/>
                <w:b w:val="0"/>
                <w:sz w:val="14"/>
              </w:rPr>
              <w:t>Observer</w:t>
            </w:r>
          </w:p>
        </w:tc>
        <w:tc>
          <w:tcPr>
            <w:tcW w:type="dxa" w:w="1296"/>
            <w:vAlign w:val="center"/>
          </w:tcPr>
          <w:p>
            <w:r/>
            <w:r>
              <w:rPr>
                <w:rFonts w:ascii="Calibri" w:hAnsi="Calibri"/>
                <w:b w:val="0"/>
                <w:sz w:val="14"/>
              </w:rPr>
              <w:t>Behavioral</w:t>
            </w:r>
          </w:p>
        </w:tc>
        <w:tc>
          <w:tcPr>
            <w:tcW w:type="dxa" w:w="2736"/>
            <w:vAlign w:val="center"/>
          </w:tcPr>
          <w:p>
            <w:r/>
            <w:r>
              <w:rPr>
                <w:rFonts w:ascii="Calibri" w:hAnsi="Calibri"/>
                <w:b w:val="0"/>
                <w:sz w:val="14"/>
              </w:rPr>
              <w:t>IStockSubject, IStockObserver, StockManager, EmailNotifier, SystemNotifier</w:t>
            </w:r>
          </w:p>
        </w:tc>
        <w:tc>
          <w:tcPr>
            <w:tcW w:type="dxa" w:w="2448"/>
            <w:vAlign w:val="center"/>
          </w:tcPr>
          <w:p>
            <w:r/>
            <w:r>
              <w:rPr>
                <w:rFonts w:ascii="Calibri" w:hAnsi="Calibri"/>
                <w:b w:val="0"/>
                <w:sz w:val="14"/>
              </w:rPr>
              <w:t>Stok kritik seviyeye düşünce birden fazla bildirimi tetikler.</w:t>
            </w:r>
          </w:p>
        </w:tc>
        <w:tc>
          <w:tcPr>
            <w:tcW w:type="dxa" w:w="2592"/>
            <w:vAlign w:val="center"/>
          </w:tcPr>
          <w:p>
            <w:r/>
            <w:r>
              <w:rPr>
                <w:rFonts w:ascii="Calibri" w:hAnsi="Calibri"/>
                <w:b w:val="0"/>
                <w:sz w:val="14"/>
              </w:rPr>
              <w:t>Doğrudan çağrı yapılabilirdi; Observer yeni bildirim kanalı eklemeyi kolaylaştırır.</w:t>
            </w:r>
          </w:p>
        </w:tc>
      </w:tr>
      <w:tr>
        <w:tc>
          <w:tcPr>
            <w:tcW w:type="dxa" w:w="1296"/>
            <w:vAlign w:val="center"/>
          </w:tcPr>
          <w:p>
            <w:r/>
            <w:r>
              <w:rPr>
                <w:rFonts w:ascii="Calibri" w:hAnsi="Calibri"/>
                <w:b w:val="0"/>
                <w:sz w:val="14"/>
              </w:rPr>
              <w:t>Strategy</w:t>
            </w:r>
          </w:p>
        </w:tc>
        <w:tc>
          <w:tcPr>
            <w:tcW w:type="dxa" w:w="1296"/>
            <w:vAlign w:val="center"/>
          </w:tcPr>
          <w:p>
            <w:r/>
            <w:r>
              <w:rPr>
                <w:rFonts w:ascii="Calibri" w:hAnsi="Calibri"/>
                <w:b w:val="0"/>
                <w:sz w:val="14"/>
              </w:rPr>
              <w:t>Behavioral</w:t>
            </w:r>
          </w:p>
        </w:tc>
        <w:tc>
          <w:tcPr>
            <w:tcW w:type="dxa" w:w="2736"/>
            <w:vAlign w:val="center"/>
          </w:tcPr>
          <w:p>
            <w:r/>
            <w:r>
              <w:rPr>
                <w:rFonts w:ascii="Calibri" w:hAnsi="Calibri"/>
                <w:b w:val="0"/>
                <w:sz w:val="14"/>
              </w:rPr>
              <w:t>IPaymentStrategy, CreditCardPayment, BankTransferPayment, CryptoPayment</w:t>
            </w:r>
          </w:p>
        </w:tc>
        <w:tc>
          <w:tcPr>
            <w:tcW w:type="dxa" w:w="2448"/>
            <w:vAlign w:val="center"/>
          </w:tcPr>
          <w:p>
            <w:r/>
            <w:r>
              <w:rPr>
                <w:rFonts w:ascii="Calibri" w:hAnsi="Calibri"/>
                <w:b w:val="0"/>
                <w:sz w:val="14"/>
              </w:rPr>
              <w:t>Ödeme yöntemlerini değiştirilebilir algoritmalar olarak ayırır.</w:t>
            </w:r>
          </w:p>
        </w:tc>
        <w:tc>
          <w:tcPr>
            <w:tcW w:type="dxa" w:w="2592"/>
            <w:vAlign w:val="center"/>
          </w:tcPr>
          <w:p>
            <w:r/>
            <w:r>
              <w:rPr>
                <w:rFonts w:ascii="Calibri" w:hAnsi="Calibri"/>
                <w:b w:val="0"/>
                <w:sz w:val="14"/>
              </w:rPr>
              <w:t>Factory tek başına yeterli değildir; her ödeme davranışı ayrı strateji olmalıdır.</w:t>
            </w:r>
          </w:p>
        </w:tc>
      </w:tr>
      <w:tr>
        <w:tc>
          <w:tcPr>
            <w:tcW w:type="dxa" w:w="1296"/>
            <w:vAlign w:val="center"/>
          </w:tcPr>
          <w:p>
            <w:r/>
            <w:r>
              <w:rPr>
                <w:rFonts w:ascii="Calibri" w:hAnsi="Calibri"/>
                <w:b w:val="0"/>
                <w:sz w:val="14"/>
              </w:rPr>
              <w:t>State</w:t>
            </w:r>
          </w:p>
        </w:tc>
        <w:tc>
          <w:tcPr>
            <w:tcW w:type="dxa" w:w="1296"/>
            <w:vAlign w:val="center"/>
          </w:tcPr>
          <w:p>
            <w:r/>
            <w:r>
              <w:rPr>
                <w:rFonts w:ascii="Calibri" w:hAnsi="Calibri"/>
                <w:b w:val="0"/>
                <w:sz w:val="14"/>
              </w:rPr>
              <w:t>Behavioral</w:t>
            </w:r>
          </w:p>
        </w:tc>
        <w:tc>
          <w:tcPr>
            <w:tcW w:type="dxa" w:w="2736"/>
            <w:vAlign w:val="center"/>
          </w:tcPr>
          <w:p>
            <w:r/>
            <w:r>
              <w:rPr>
                <w:rFonts w:ascii="Calibri" w:hAnsi="Calibri"/>
                <w:b w:val="0"/>
                <w:sz w:val="14"/>
              </w:rPr>
              <w:t>IOrderState, PendingState, ApprovedState, InShipmentState, DeliveredState</w:t>
            </w:r>
          </w:p>
        </w:tc>
        <w:tc>
          <w:tcPr>
            <w:tcW w:type="dxa" w:w="2448"/>
            <w:vAlign w:val="center"/>
          </w:tcPr>
          <w:p>
            <w:r/>
            <w:r>
              <w:rPr>
                <w:rFonts w:ascii="Calibri" w:hAnsi="Calibri"/>
                <w:b w:val="0"/>
                <w:sz w:val="14"/>
              </w:rPr>
              <w:t>Sipariş durum geçişlerini kurallı sınıflara böler.</w:t>
            </w:r>
          </w:p>
        </w:tc>
        <w:tc>
          <w:tcPr>
            <w:tcW w:type="dxa" w:w="2592"/>
            <w:vAlign w:val="center"/>
          </w:tcPr>
          <w:p>
            <w:r/>
            <w:r>
              <w:rPr>
                <w:rFonts w:ascii="Calibri" w:hAnsi="Calibri"/>
                <w:b w:val="0"/>
                <w:sz w:val="14"/>
              </w:rPr>
              <w:t>Enum + if-else kullanılabilirdi; State daha okunabilir ve genişletilebilirdir.</w:t>
            </w:r>
          </w:p>
        </w:tc>
      </w:tr>
      <w:tr>
        <w:tc>
          <w:tcPr>
            <w:tcW w:type="dxa" w:w="1296"/>
            <w:vAlign w:val="center"/>
          </w:tcPr>
          <w:p>
            <w:r/>
            <w:r>
              <w:rPr>
                <w:rFonts w:ascii="Calibri" w:hAnsi="Calibri"/>
                <w:b w:val="0"/>
                <w:sz w:val="14"/>
              </w:rPr>
              <w:t>Repository</w:t>
            </w:r>
          </w:p>
        </w:tc>
        <w:tc>
          <w:tcPr>
            <w:tcW w:type="dxa" w:w="1296"/>
            <w:vAlign w:val="center"/>
          </w:tcPr>
          <w:p>
            <w:r/>
            <w:r>
              <w:rPr>
                <w:rFonts w:ascii="Calibri" w:hAnsi="Calibri"/>
                <w:b w:val="0"/>
                <w:sz w:val="14"/>
              </w:rPr>
              <w:t>Ek mimari desen</w:t>
            </w:r>
          </w:p>
        </w:tc>
        <w:tc>
          <w:tcPr>
            <w:tcW w:type="dxa" w:w="2736"/>
            <w:vAlign w:val="center"/>
          </w:tcPr>
          <w:p>
            <w:r/>
            <w:r>
              <w:rPr>
                <w:rFonts w:ascii="Calibri" w:hAnsi="Calibri"/>
                <w:b w:val="0"/>
                <w:sz w:val="14"/>
              </w:rPr>
              <w:t>IGenericRepository, GenericRepository</w:t>
            </w:r>
          </w:p>
        </w:tc>
        <w:tc>
          <w:tcPr>
            <w:tcW w:type="dxa" w:w="2448"/>
            <w:vAlign w:val="center"/>
          </w:tcPr>
          <w:p>
            <w:r/>
            <w:r>
              <w:rPr>
                <w:rFonts w:ascii="Calibri" w:hAnsi="Calibri"/>
                <w:b w:val="0"/>
                <w:sz w:val="14"/>
              </w:rPr>
              <w:t>CRUD işlemlerini standartlaştırır.</w:t>
            </w:r>
          </w:p>
        </w:tc>
        <w:tc>
          <w:tcPr>
            <w:tcW w:type="dxa" w:w="2592"/>
            <w:vAlign w:val="center"/>
          </w:tcPr>
          <w:p>
            <w:r/>
            <w:r>
              <w:rPr>
                <w:rFonts w:ascii="Calibri" w:hAnsi="Calibri"/>
                <w:b w:val="0"/>
                <w:sz w:val="14"/>
              </w:rPr>
              <w:t>Doğrudan DbContext kullanılabilirdi; repository tekrar eden kodu azaltır.</w:t>
            </w:r>
          </w:p>
        </w:tc>
      </w:tr>
    </w:tbl>
    <w:p/>
    <w:p>
      <w:pPr>
        <w:pStyle w:val="Heading1"/>
      </w:pPr>
      <w:r>
        <w:t>5. Arayüz (Interface) Tasarımı</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D9EAF7"/>
            <w:vAlign w:val="center"/>
          </w:tcPr>
          <w:p>
            <w:r/>
            <w:r>
              <w:rPr>
                <w:rFonts w:ascii="Calibri" w:hAnsi="Calibri"/>
                <w:b/>
                <w:sz w:val="15"/>
              </w:rPr>
              <w:t>Interface</w:t>
            </w:r>
          </w:p>
        </w:tc>
        <w:tc>
          <w:tcPr>
            <w:tcW w:type="dxa" w:w="3456"/>
            <w:shd w:fill="D9EAF7"/>
            <w:vAlign w:val="center"/>
          </w:tcPr>
          <w:p>
            <w:r/>
            <w:r>
              <w:rPr>
                <w:rFonts w:ascii="Calibri" w:hAnsi="Calibri"/>
                <w:b/>
                <w:sz w:val="15"/>
              </w:rPr>
              <w:t>Sorumluluğu</w:t>
            </w:r>
          </w:p>
        </w:tc>
        <w:tc>
          <w:tcPr>
            <w:tcW w:type="dxa" w:w="4032"/>
            <w:shd w:fill="D9EAF7"/>
            <w:vAlign w:val="center"/>
          </w:tcPr>
          <w:p>
            <w:r/>
            <w:r>
              <w:rPr>
                <w:rFonts w:ascii="Calibri" w:hAnsi="Calibri"/>
                <w:b/>
                <w:sz w:val="15"/>
              </w:rPr>
              <w:t>Neden Somut Sınıf Yerine Interface?</w:t>
            </w:r>
          </w:p>
        </w:tc>
      </w:tr>
      <w:tr>
        <w:tc>
          <w:tcPr>
            <w:tcW w:type="dxa" w:w="2160"/>
            <w:vAlign w:val="center"/>
          </w:tcPr>
          <w:p>
            <w:r/>
            <w:r>
              <w:rPr>
                <w:rFonts w:ascii="Calibri" w:hAnsi="Calibri"/>
                <w:b w:val="0"/>
                <w:sz w:val="15"/>
              </w:rPr>
              <w:t>IShippingAdapter</w:t>
            </w:r>
          </w:p>
        </w:tc>
        <w:tc>
          <w:tcPr>
            <w:tcW w:type="dxa" w:w="3456"/>
            <w:vAlign w:val="center"/>
          </w:tcPr>
          <w:p>
            <w:r/>
            <w:r>
              <w:rPr>
                <w:rFonts w:ascii="Calibri" w:hAnsi="Calibri"/>
                <w:b w:val="0"/>
                <w:sz w:val="15"/>
              </w:rPr>
              <w:t>Kargo oluşturma, fiyat hesaplama, takip sorgulama sözleşmesi.</w:t>
            </w:r>
          </w:p>
        </w:tc>
        <w:tc>
          <w:tcPr>
            <w:tcW w:type="dxa" w:w="4032"/>
            <w:vAlign w:val="center"/>
          </w:tcPr>
          <w:p>
            <w:r/>
            <w:r>
              <w:rPr>
                <w:rFonts w:ascii="Calibri" w:hAnsi="Calibri"/>
                <w:b w:val="0"/>
                <w:sz w:val="15"/>
              </w:rPr>
              <w:t>Kargo firmaları değişebilir; üst seviye kod firmaya değil arayüze bağlı kalır.</w:t>
            </w:r>
          </w:p>
        </w:tc>
      </w:tr>
      <w:tr>
        <w:tc>
          <w:tcPr>
            <w:tcW w:type="dxa" w:w="2160"/>
            <w:vAlign w:val="center"/>
          </w:tcPr>
          <w:p>
            <w:r/>
            <w:r>
              <w:rPr>
                <w:rFonts w:ascii="Calibri" w:hAnsi="Calibri"/>
                <w:b w:val="0"/>
                <w:sz w:val="15"/>
              </w:rPr>
              <w:t>IShippingCostCalculator</w:t>
            </w:r>
          </w:p>
        </w:tc>
        <w:tc>
          <w:tcPr>
            <w:tcW w:type="dxa" w:w="3456"/>
            <w:vAlign w:val="center"/>
          </w:tcPr>
          <w:p>
            <w:r/>
            <w:r>
              <w:rPr>
                <w:rFonts w:ascii="Calibri" w:hAnsi="Calibri"/>
                <w:b w:val="0"/>
                <w:sz w:val="15"/>
              </w:rPr>
              <w:t>Kargo ücretini hesaplama sözleşmesi.</w:t>
            </w:r>
          </w:p>
        </w:tc>
        <w:tc>
          <w:tcPr>
            <w:tcW w:type="dxa" w:w="4032"/>
            <w:vAlign w:val="center"/>
          </w:tcPr>
          <w:p>
            <w:r/>
            <w:r>
              <w:rPr>
                <w:rFonts w:ascii="Calibri" w:hAnsi="Calibri"/>
                <w:b w:val="0"/>
                <w:sz w:val="15"/>
              </w:rPr>
              <w:t>Decorator zincirinde temel ve ek hesaplayıcılar aynı tipte kullanılabilir.</w:t>
            </w:r>
          </w:p>
        </w:tc>
      </w:tr>
      <w:tr>
        <w:tc>
          <w:tcPr>
            <w:tcW w:type="dxa" w:w="2160"/>
            <w:vAlign w:val="center"/>
          </w:tcPr>
          <w:p>
            <w:r/>
            <w:r>
              <w:rPr>
                <w:rFonts w:ascii="Calibri" w:hAnsi="Calibri"/>
                <w:b w:val="0"/>
                <w:sz w:val="15"/>
              </w:rPr>
              <w:t>IPaymentStrategy</w:t>
            </w:r>
          </w:p>
        </w:tc>
        <w:tc>
          <w:tcPr>
            <w:tcW w:type="dxa" w:w="3456"/>
            <w:vAlign w:val="center"/>
          </w:tcPr>
          <w:p>
            <w:r/>
            <w:r>
              <w:rPr>
                <w:rFonts w:ascii="Calibri" w:hAnsi="Calibri"/>
                <w:b w:val="0"/>
                <w:sz w:val="15"/>
              </w:rPr>
              <w:t>Ödeme yapma sözleşmesi.</w:t>
            </w:r>
          </w:p>
        </w:tc>
        <w:tc>
          <w:tcPr>
            <w:tcW w:type="dxa" w:w="4032"/>
            <w:vAlign w:val="center"/>
          </w:tcPr>
          <w:p>
            <w:r/>
            <w:r>
              <w:rPr>
                <w:rFonts w:ascii="Calibri" w:hAnsi="Calibri"/>
                <w:b w:val="0"/>
                <w:sz w:val="15"/>
              </w:rPr>
              <w:t>Ödeme yöntemleri değişebilir; controller sadece Pay metodunu bilir.</w:t>
            </w:r>
          </w:p>
        </w:tc>
      </w:tr>
      <w:tr>
        <w:tc>
          <w:tcPr>
            <w:tcW w:type="dxa" w:w="2160"/>
            <w:vAlign w:val="center"/>
          </w:tcPr>
          <w:p>
            <w:r/>
            <w:r>
              <w:rPr>
                <w:rFonts w:ascii="Calibri" w:hAnsi="Calibri"/>
                <w:b w:val="0"/>
                <w:sz w:val="15"/>
              </w:rPr>
              <w:t>IOrderState</w:t>
            </w:r>
          </w:p>
        </w:tc>
        <w:tc>
          <w:tcPr>
            <w:tcW w:type="dxa" w:w="3456"/>
            <w:vAlign w:val="center"/>
          </w:tcPr>
          <w:p>
            <w:r/>
            <w:r>
              <w:rPr>
                <w:rFonts w:ascii="Calibri" w:hAnsi="Calibri"/>
                <w:b w:val="0"/>
                <w:sz w:val="15"/>
              </w:rPr>
              <w:t>Sipariş durum davranışları.</w:t>
            </w:r>
          </w:p>
        </w:tc>
        <w:tc>
          <w:tcPr>
            <w:tcW w:type="dxa" w:w="4032"/>
            <w:vAlign w:val="center"/>
          </w:tcPr>
          <w:p>
            <w:r/>
            <w:r>
              <w:rPr>
                <w:rFonts w:ascii="Calibri" w:hAnsi="Calibri"/>
                <w:b w:val="0"/>
                <w:sz w:val="15"/>
              </w:rPr>
              <w:t>Her durum aynı metotları sağlar, fakat davranışı farklıdır.</w:t>
            </w:r>
          </w:p>
        </w:tc>
      </w:tr>
      <w:tr>
        <w:tc>
          <w:tcPr>
            <w:tcW w:type="dxa" w:w="2160"/>
            <w:vAlign w:val="center"/>
          </w:tcPr>
          <w:p>
            <w:r/>
            <w:r>
              <w:rPr>
                <w:rFonts w:ascii="Calibri" w:hAnsi="Calibri"/>
                <w:b w:val="0"/>
                <w:sz w:val="15"/>
              </w:rPr>
              <w:t>IStockObserver</w:t>
            </w:r>
          </w:p>
        </w:tc>
        <w:tc>
          <w:tcPr>
            <w:tcW w:type="dxa" w:w="3456"/>
            <w:vAlign w:val="center"/>
          </w:tcPr>
          <w:p>
            <w:r/>
            <w:r>
              <w:rPr>
                <w:rFonts w:ascii="Calibri" w:hAnsi="Calibri"/>
                <w:b w:val="0"/>
                <w:sz w:val="15"/>
              </w:rPr>
              <w:t>Stok uyarısı alma davranışı.</w:t>
            </w:r>
          </w:p>
        </w:tc>
        <w:tc>
          <w:tcPr>
            <w:tcW w:type="dxa" w:w="4032"/>
            <w:vAlign w:val="center"/>
          </w:tcPr>
          <w:p>
            <w:r/>
            <w:r>
              <w:rPr>
                <w:rFonts w:ascii="Calibri" w:hAnsi="Calibri"/>
                <w:b w:val="0"/>
                <w:sz w:val="15"/>
              </w:rPr>
              <w:t>Yeni bildirim kanalı eklemek için StockManager değiştirilmez.</w:t>
            </w:r>
          </w:p>
        </w:tc>
      </w:tr>
      <w:tr>
        <w:tc>
          <w:tcPr>
            <w:tcW w:type="dxa" w:w="2160"/>
            <w:vAlign w:val="center"/>
          </w:tcPr>
          <w:p>
            <w:r/>
            <w:r>
              <w:rPr>
                <w:rFonts w:ascii="Calibri" w:hAnsi="Calibri"/>
                <w:b w:val="0"/>
                <w:sz w:val="15"/>
              </w:rPr>
              <w:t>IStockSubject</w:t>
            </w:r>
          </w:p>
        </w:tc>
        <w:tc>
          <w:tcPr>
            <w:tcW w:type="dxa" w:w="3456"/>
            <w:vAlign w:val="center"/>
          </w:tcPr>
          <w:p>
            <w:r/>
            <w:r>
              <w:rPr>
                <w:rFonts w:ascii="Calibri" w:hAnsi="Calibri"/>
                <w:b w:val="0"/>
                <w:sz w:val="15"/>
              </w:rPr>
              <w:t>Observer ekleme/çıkarma/bildirme davranışı.</w:t>
            </w:r>
          </w:p>
        </w:tc>
        <w:tc>
          <w:tcPr>
            <w:tcW w:type="dxa" w:w="4032"/>
            <w:vAlign w:val="center"/>
          </w:tcPr>
          <w:p>
            <w:r/>
            <w:r>
              <w:rPr>
                <w:rFonts w:ascii="Calibri" w:hAnsi="Calibri"/>
                <w:b w:val="0"/>
                <w:sz w:val="15"/>
              </w:rPr>
              <w:t>Subject davranışını soyutlar.</w:t>
            </w:r>
          </w:p>
        </w:tc>
      </w:tr>
      <w:tr>
        <w:tc>
          <w:tcPr>
            <w:tcW w:type="dxa" w:w="2160"/>
            <w:vAlign w:val="center"/>
          </w:tcPr>
          <w:p>
            <w:r/>
            <w:r>
              <w:rPr>
                <w:rFonts w:ascii="Calibri" w:hAnsi="Calibri"/>
                <w:b w:val="0"/>
                <w:sz w:val="15"/>
              </w:rPr>
              <w:t>IAppLogger</w:t>
            </w:r>
          </w:p>
        </w:tc>
        <w:tc>
          <w:tcPr>
            <w:tcW w:type="dxa" w:w="3456"/>
            <w:vAlign w:val="center"/>
          </w:tcPr>
          <w:p>
            <w:r/>
            <w:r>
              <w:rPr>
                <w:rFonts w:ascii="Calibri" w:hAnsi="Calibri"/>
                <w:b w:val="0"/>
                <w:sz w:val="15"/>
              </w:rPr>
              <w:t>Loglama metotları.</w:t>
            </w:r>
          </w:p>
        </w:tc>
        <w:tc>
          <w:tcPr>
            <w:tcW w:type="dxa" w:w="4032"/>
            <w:vAlign w:val="center"/>
          </w:tcPr>
          <w:p>
            <w:r/>
            <w:r>
              <w:rPr>
                <w:rFonts w:ascii="Calibri" w:hAnsi="Calibri"/>
                <w:b w:val="0"/>
                <w:sz w:val="15"/>
              </w:rPr>
              <w:t>Controller ve servisler AppLogger somut sınıfına doğrudan bağımlı kalmaz.</w:t>
            </w:r>
          </w:p>
        </w:tc>
      </w:tr>
      <w:tr>
        <w:tc>
          <w:tcPr>
            <w:tcW w:type="dxa" w:w="2160"/>
            <w:vAlign w:val="center"/>
          </w:tcPr>
          <w:p>
            <w:r/>
            <w:r>
              <w:rPr>
                <w:rFonts w:ascii="Calibri" w:hAnsi="Calibri"/>
                <w:b w:val="0"/>
                <w:sz w:val="15"/>
              </w:rPr>
              <w:t>IProductCatalogService</w:t>
            </w:r>
          </w:p>
        </w:tc>
        <w:tc>
          <w:tcPr>
            <w:tcW w:type="dxa" w:w="3456"/>
            <w:vAlign w:val="center"/>
          </w:tcPr>
          <w:p>
            <w:r/>
            <w:r>
              <w:rPr>
                <w:rFonts w:ascii="Calibri" w:hAnsi="Calibri"/>
                <w:b w:val="0"/>
                <w:sz w:val="15"/>
              </w:rPr>
              <w:t>Ürünleri hazırlama/listeleme.</w:t>
            </w:r>
          </w:p>
        </w:tc>
        <w:tc>
          <w:tcPr>
            <w:tcW w:type="dxa" w:w="4032"/>
            <w:vAlign w:val="center"/>
          </w:tcPr>
          <w:p>
            <w:r/>
            <w:r>
              <w:rPr>
                <w:rFonts w:ascii="Calibri" w:hAnsi="Calibri"/>
                <w:b w:val="0"/>
                <w:sz w:val="15"/>
              </w:rPr>
              <w:t>Controller ürün hazırlama detaylarını bilmez.</w:t>
            </w:r>
          </w:p>
        </w:tc>
      </w:tr>
      <w:tr>
        <w:tc>
          <w:tcPr>
            <w:tcW w:type="dxa" w:w="2160"/>
            <w:vAlign w:val="center"/>
          </w:tcPr>
          <w:p>
            <w:r/>
            <w:r>
              <w:rPr>
                <w:rFonts w:ascii="Calibri" w:hAnsi="Calibri"/>
                <w:b w:val="0"/>
                <w:sz w:val="15"/>
              </w:rPr>
              <w:t>IOrderPricingService</w:t>
            </w:r>
          </w:p>
        </w:tc>
        <w:tc>
          <w:tcPr>
            <w:tcW w:type="dxa" w:w="3456"/>
            <w:vAlign w:val="center"/>
          </w:tcPr>
          <w:p>
            <w:r/>
            <w:r>
              <w:rPr>
                <w:rFonts w:ascii="Calibri" w:hAnsi="Calibri"/>
                <w:b w:val="0"/>
                <w:sz w:val="15"/>
              </w:rPr>
              <w:t>Kargo fiyat ve takip numarası hesaplama.</w:t>
            </w:r>
          </w:p>
        </w:tc>
        <w:tc>
          <w:tcPr>
            <w:tcW w:type="dxa" w:w="4032"/>
            <w:vAlign w:val="center"/>
          </w:tcPr>
          <w:p>
            <w:r/>
            <w:r>
              <w:rPr>
                <w:rFonts w:ascii="Calibri" w:hAnsi="Calibri"/>
                <w:b w:val="0"/>
                <w:sz w:val="15"/>
              </w:rPr>
              <w:t>Controller kargo adapter/decorator detaylarını bilmez.</w:t>
            </w:r>
          </w:p>
        </w:tc>
      </w:tr>
      <w:tr>
        <w:tc>
          <w:tcPr>
            <w:tcW w:type="dxa" w:w="2160"/>
            <w:vAlign w:val="center"/>
          </w:tcPr>
          <w:p>
            <w:r/>
            <w:r>
              <w:rPr>
                <w:rFonts w:ascii="Calibri" w:hAnsi="Calibri"/>
                <w:b w:val="0"/>
                <w:sz w:val="15"/>
              </w:rPr>
              <w:t>IGenericRepository&lt;T&gt;</w:t>
            </w:r>
          </w:p>
        </w:tc>
        <w:tc>
          <w:tcPr>
            <w:tcW w:type="dxa" w:w="3456"/>
            <w:vAlign w:val="center"/>
          </w:tcPr>
          <w:p>
            <w:r/>
            <w:r>
              <w:rPr>
                <w:rFonts w:ascii="Calibri" w:hAnsi="Calibri"/>
                <w:b w:val="0"/>
                <w:sz w:val="15"/>
              </w:rPr>
              <w:t>Temel CRUD işlemleri.</w:t>
            </w:r>
          </w:p>
        </w:tc>
        <w:tc>
          <w:tcPr>
            <w:tcW w:type="dxa" w:w="4032"/>
            <w:vAlign w:val="center"/>
          </w:tcPr>
          <w:p>
            <w:r/>
            <w:r>
              <w:rPr>
                <w:rFonts w:ascii="Calibri" w:hAnsi="Calibri"/>
                <w:b w:val="0"/>
                <w:sz w:val="15"/>
              </w:rPr>
              <w:t>Veri erişimi soyutlanır.</w:t>
            </w:r>
          </w:p>
        </w:tc>
      </w:tr>
    </w:tbl>
    <w:p/>
    <w:p>
      <w:pPr>
        <w:pStyle w:val="Heading1"/>
      </w:pPr>
      <w:r>
        <w:t>6. Veri Akışı ve Bileşen İlişkileri</w:t>
      </w:r>
    </w:p>
    <w:p>
      <w:pPr>
        <w:pStyle w:val="ListNumber"/>
      </w:pPr>
      <w:r>
        <w:t>Kullanıcı View üzerinden form gönderir.</w:t>
      </w:r>
    </w:p>
    <w:p>
      <w:pPr>
        <w:pStyle w:val="ListNumber"/>
      </w:pPr>
      <w:r>
        <w:t>Controller action metodu isteği alır ve gerekli yetki kontrolü uygulanır.</w:t>
      </w:r>
    </w:p>
    <w:p>
      <w:pPr>
        <w:pStyle w:val="ListNumber"/>
      </w:pPr>
      <w:r>
        <w:t>Repository veya DbContext ile ürün/sipariş verisi okunur.</w:t>
      </w:r>
    </w:p>
    <w:p>
      <w:pPr>
        <w:pStyle w:val="ListNumber"/>
      </w:pPr>
      <w:r>
        <w:t>İş kuralı servisleri çalışır: stok, ödeme, kargo, state geçişi, loglama.</w:t>
      </w:r>
    </w:p>
    <w:p>
      <w:pPr>
        <w:pStyle w:val="ListNumber"/>
      </w:pPr>
      <w:r>
        <w:t>Model güncellenir ve SaveChangesAsync ile veritabanına yazılır.</w:t>
      </w:r>
    </w:p>
    <w:p>
      <w:pPr>
        <w:pStyle w:val="ListNumber"/>
      </w:pPr>
      <w:r>
        <w:t>Controller TempData veya ViewModel ile sonucu kullanıcıya gösterir.</w:t>
      </w:r>
    </w:p>
    <w:p>
      <w:pPr>
        <w:pStyle w:val="Heading1"/>
      </w:pPr>
      <w:r>
        <w:t>7. Genişletilebilirlik Analizi</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16"/>
            <w:shd w:fill="D9EAF7"/>
            <w:vAlign w:val="center"/>
          </w:tcPr>
          <w:p>
            <w:r/>
            <w:r>
              <w:rPr>
                <w:rFonts w:ascii="Calibri" w:hAnsi="Calibri"/>
                <w:b/>
                <w:sz w:val="16"/>
              </w:rPr>
              <w:t>Yeni İhtiyaç</w:t>
            </w:r>
          </w:p>
        </w:tc>
        <w:tc>
          <w:tcPr>
            <w:tcW w:type="dxa" w:w="2880"/>
            <w:shd w:fill="D9EAF7"/>
            <w:vAlign w:val="center"/>
          </w:tcPr>
          <w:p>
            <w:r/>
            <w:r>
              <w:rPr>
                <w:rFonts w:ascii="Calibri" w:hAnsi="Calibri"/>
                <w:b/>
                <w:sz w:val="16"/>
              </w:rPr>
              <w:t>Değişecek Kısım</w:t>
            </w:r>
          </w:p>
        </w:tc>
        <w:tc>
          <w:tcPr>
            <w:tcW w:type="dxa" w:w="2880"/>
            <w:shd w:fill="D9EAF7"/>
            <w:vAlign w:val="center"/>
          </w:tcPr>
          <w:p>
            <w:r/>
            <w:r>
              <w:rPr>
                <w:rFonts w:ascii="Calibri" w:hAnsi="Calibri"/>
                <w:b/>
                <w:sz w:val="16"/>
              </w:rPr>
              <w:t>Değişmeyecek Kısım</w:t>
            </w:r>
          </w:p>
        </w:tc>
        <w:tc>
          <w:tcPr>
            <w:tcW w:type="dxa" w:w="2016"/>
            <w:shd w:fill="D9EAF7"/>
            <w:vAlign w:val="center"/>
          </w:tcPr>
          <w:p>
            <w:r/>
            <w:r>
              <w:rPr>
                <w:rFonts w:ascii="Calibri" w:hAnsi="Calibri"/>
                <w:b/>
                <w:sz w:val="16"/>
              </w:rPr>
              <w:t>OCP ile İlişkisi</w:t>
            </w:r>
          </w:p>
        </w:tc>
      </w:tr>
      <w:tr>
        <w:tc>
          <w:tcPr>
            <w:tcW w:type="dxa" w:w="2016"/>
            <w:vAlign w:val="center"/>
          </w:tcPr>
          <w:p>
            <w:r/>
            <w:r>
              <w:rPr>
                <w:rFonts w:ascii="Calibri" w:hAnsi="Calibri"/>
                <w:b w:val="0"/>
                <w:sz w:val="16"/>
              </w:rPr>
              <w:t>Yeni kargo firması eklemek</w:t>
            </w:r>
          </w:p>
        </w:tc>
        <w:tc>
          <w:tcPr>
            <w:tcW w:type="dxa" w:w="2880"/>
            <w:vAlign w:val="center"/>
          </w:tcPr>
          <w:p>
            <w:r/>
            <w:r>
              <w:rPr>
                <w:rFonts w:ascii="Calibri" w:hAnsi="Calibri"/>
                <w:b w:val="0"/>
                <w:sz w:val="16"/>
              </w:rPr>
              <w:t>Yeni Adapter sınıfı ve ShippingAdapterFactory'ye enum eşlemesi eklenir.</w:t>
            </w:r>
          </w:p>
        </w:tc>
        <w:tc>
          <w:tcPr>
            <w:tcW w:type="dxa" w:w="2880"/>
            <w:vAlign w:val="center"/>
          </w:tcPr>
          <w:p>
            <w:r/>
            <w:r>
              <w:rPr>
                <w:rFonts w:ascii="Calibri" w:hAnsi="Calibri"/>
                <w:b w:val="0"/>
                <w:sz w:val="16"/>
              </w:rPr>
              <w:t>HomeController, OrderPricingService ve IShippingAdapter sözleşmesi değişmez.</w:t>
            </w:r>
          </w:p>
        </w:tc>
        <w:tc>
          <w:tcPr>
            <w:tcW w:type="dxa" w:w="2016"/>
            <w:vAlign w:val="center"/>
          </w:tcPr>
          <w:p>
            <w:r/>
            <w:r>
              <w:rPr>
                <w:rFonts w:ascii="Calibri" w:hAnsi="Calibri"/>
                <w:b w:val="0"/>
                <w:sz w:val="16"/>
              </w:rPr>
              <w:t>Yeni davranış eklenir, mevcut ana akış kapalı kalır.</w:t>
            </w:r>
          </w:p>
        </w:tc>
      </w:tr>
      <w:tr>
        <w:tc>
          <w:tcPr>
            <w:tcW w:type="dxa" w:w="2016"/>
            <w:vAlign w:val="center"/>
          </w:tcPr>
          <w:p>
            <w:r/>
            <w:r>
              <w:rPr>
                <w:rFonts w:ascii="Calibri" w:hAnsi="Calibri"/>
                <w:b w:val="0"/>
                <w:sz w:val="16"/>
              </w:rPr>
              <w:t>Yeni ödeme yöntemi eklemek</w:t>
            </w:r>
          </w:p>
        </w:tc>
        <w:tc>
          <w:tcPr>
            <w:tcW w:type="dxa" w:w="2880"/>
            <w:vAlign w:val="center"/>
          </w:tcPr>
          <w:p>
            <w:r/>
            <w:r>
              <w:rPr>
                <w:rFonts w:ascii="Calibri" w:hAnsi="Calibri"/>
                <w:b w:val="0"/>
                <w:sz w:val="16"/>
              </w:rPr>
              <w:t>Yeni IPaymentStrategy sınıfı ve PaymentStrategyFactory eşlemesi eklenir.</w:t>
            </w:r>
          </w:p>
        </w:tc>
        <w:tc>
          <w:tcPr>
            <w:tcW w:type="dxa" w:w="2880"/>
            <w:vAlign w:val="center"/>
          </w:tcPr>
          <w:p>
            <w:r/>
            <w:r>
              <w:rPr>
                <w:rFonts w:ascii="Calibri" w:hAnsi="Calibri"/>
                <w:b w:val="0"/>
                <w:sz w:val="16"/>
              </w:rPr>
              <w:t>CreateOrder akışı ve mevcut ödeme sınıfları değişmez.</w:t>
            </w:r>
          </w:p>
        </w:tc>
        <w:tc>
          <w:tcPr>
            <w:tcW w:type="dxa" w:w="2016"/>
            <w:vAlign w:val="center"/>
          </w:tcPr>
          <w:p>
            <w:r/>
            <w:r>
              <w:rPr>
                <w:rFonts w:ascii="Calibri" w:hAnsi="Calibri"/>
                <w:b w:val="0"/>
                <w:sz w:val="16"/>
              </w:rPr>
              <w:t>Ödeme davranışı genişletilir.</w:t>
            </w:r>
          </w:p>
        </w:tc>
      </w:tr>
      <w:tr>
        <w:tc>
          <w:tcPr>
            <w:tcW w:type="dxa" w:w="2016"/>
            <w:vAlign w:val="center"/>
          </w:tcPr>
          <w:p>
            <w:r/>
            <w:r>
              <w:rPr>
                <w:rFonts w:ascii="Calibri" w:hAnsi="Calibri"/>
                <w:b w:val="0"/>
                <w:sz w:val="16"/>
              </w:rPr>
              <w:t>Yeni sipariş durumu eklemek</w:t>
            </w:r>
          </w:p>
        </w:tc>
        <w:tc>
          <w:tcPr>
            <w:tcW w:type="dxa" w:w="2880"/>
            <w:vAlign w:val="center"/>
          </w:tcPr>
          <w:p>
            <w:r/>
            <w:r>
              <w:rPr>
                <w:rFonts w:ascii="Calibri" w:hAnsi="Calibri"/>
                <w:b w:val="0"/>
                <w:sz w:val="16"/>
              </w:rPr>
              <w:t>Yeni IOrderState sınıfı ve OrderStateFactory eşlemesi eklenir.</w:t>
            </w:r>
          </w:p>
        </w:tc>
        <w:tc>
          <w:tcPr>
            <w:tcW w:type="dxa" w:w="2880"/>
            <w:vAlign w:val="center"/>
          </w:tcPr>
          <w:p>
            <w:r/>
            <w:r>
              <w:rPr>
                <w:rFonts w:ascii="Calibri" w:hAnsi="Calibri"/>
                <w:b w:val="0"/>
                <w:sz w:val="16"/>
              </w:rPr>
              <w:t>Controller aynı GetState çağrısını kullanır.</w:t>
            </w:r>
          </w:p>
        </w:tc>
        <w:tc>
          <w:tcPr>
            <w:tcW w:type="dxa" w:w="2016"/>
            <w:vAlign w:val="center"/>
          </w:tcPr>
          <w:p>
            <w:r/>
            <w:r>
              <w:rPr>
                <w:rFonts w:ascii="Calibri" w:hAnsi="Calibri"/>
                <w:b w:val="0"/>
                <w:sz w:val="16"/>
              </w:rPr>
              <w:t>Durum davranışı sınıf ekleyerek genişler.</w:t>
            </w:r>
          </w:p>
        </w:tc>
      </w:tr>
      <w:tr>
        <w:tc>
          <w:tcPr>
            <w:tcW w:type="dxa" w:w="2016"/>
            <w:vAlign w:val="center"/>
          </w:tcPr>
          <w:p>
            <w:r/>
            <w:r>
              <w:rPr>
                <w:rFonts w:ascii="Calibri" w:hAnsi="Calibri"/>
                <w:b w:val="0"/>
                <w:sz w:val="16"/>
              </w:rPr>
              <w:t>Yeni stok bildirim kanalı eklemek</w:t>
            </w:r>
          </w:p>
        </w:tc>
        <w:tc>
          <w:tcPr>
            <w:tcW w:type="dxa" w:w="2880"/>
            <w:vAlign w:val="center"/>
          </w:tcPr>
          <w:p>
            <w:r/>
            <w:r>
              <w:rPr>
                <w:rFonts w:ascii="Calibri" w:hAnsi="Calibri"/>
                <w:b w:val="0"/>
                <w:sz w:val="16"/>
              </w:rPr>
              <w:t>Yeni IStockObserver implementasyonu ve DI kaydı eklenir.</w:t>
            </w:r>
          </w:p>
        </w:tc>
        <w:tc>
          <w:tcPr>
            <w:tcW w:type="dxa" w:w="2880"/>
            <w:vAlign w:val="center"/>
          </w:tcPr>
          <w:p>
            <w:r/>
            <w:r>
              <w:rPr>
                <w:rFonts w:ascii="Calibri" w:hAnsi="Calibri"/>
                <w:b w:val="0"/>
                <w:sz w:val="16"/>
              </w:rPr>
              <w:t>StockManager Notify mantığı değişmez.</w:t>
            </w:r>
          </w:p>
        </w:tc>
        <w:tc>
          <w:tcPr>
            <w:tcW w:type="dxa" w:w="2016"/>
            <w:vAlign w:val="center"/>
          </w:tcPr>
          <w:p>
            <w:r/>
            <w:r>
              <w:rPr>
                <w:rFonts w:ascii="Calibri" w:hAnsi="Calibri"/>
                <w:b w:val="0"/>
                <w:sz w:val="16"/>
              </w:rPr>
              <w:t>Yeni observer eklenir, subject kapalı kalır.</w:t>
            </w:r>
          </w:p>
        </w:tc>
      </w:tr>
    </w:tbl>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