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spacing w:after="360"/>
        <w:jc w:val="center"/>
      </w:pPr>
      <w:r>
        <w:rPr>
          <w:rFonts w:ascii="Calibri" w:hAnsi="Calibri"/>
          <w:b/>
          <w:color w:val="8C6B22"/>
          <w:sz w:val="21"/>
        </w:rPr>
        <w:t>IMPLEMENTATION PLAN</w:t>
      </w:r>
    </w:p>
    <w:p>
      <w:pPr>
        <w:spacing w:after="160"/>
        <w:jc w:val="center"/>
      </w:pPr>
      <w:r>
        <w:rPr>
          <w:rFonts w:ascii="Calibri" w:hAnsi="Calibri"/>
          <w:b/>
          <w:color w:val="203748"/>
          <w:sz w:val="60"/>
        </w:rPr>
        <w:t>Personalized AI Race Engineer</w:t>
      </w:r>
    </w:p>
    <w:p>
      <w:pPr>
        <w:spacing w:after="480"/>
        <w:jc w:val="center"/>
      </w:pPr>
      <w:r>
        <w:rPr>
          <w:rFonts w:ascii="Calibri" w:hAnsi="Calibri"/>
          <w:color w:val="2B5163"/>
          <w:sz w:val="30"/>
        </w:rPr>
        <w:t>A local-first, game-adaptable architecture for real-time racing assistance</w:t>
      </w:r>
    </w:p>
    <w:p>
      <w:pPr>
        <w:spacing w:after="1160"/>
        <w:jc w:val="center"/>
      </w:pPr>
      <w:r>
        <w:rPr>
          <w:rFonts w:ascii="Calibri" w:hAnsi="Calibri"/>
          <w:i/>
          <w:color w:val="666666"/>
          <w:sz w:val="21"/>
        </w:rPr>
        <w:t>Architecture baseline v0.2</w:t>
      </w:r>
    </w:p>
    <w:p>
      <w:pPr>
        <w:spacing w:after="80"/>
        <w:jc w:val="center"/>
      </w:pPr>
      <w:r>
        <w:rPr>
          <w:rFonts w:ascii="Calibri" w:hAnsi="Calibri"/>
          <w:b/>
          <w:color w:val="203748"/>
          <w:sz w:val="22"/>
        </w:rPr>
        <w:t>Updated September 2026</w:t>
      </w:r>
    </w:p>
    <w:p>
      <w:pPr>
        <w:jc w:val="center"/>
      </w:pPr>
      <w:r>
        <w:rPr>
          <w:rFonts w:ascii="Calibri" w:hAnsi="Calibri"/>
          <w:i/>
          <w:color w:val="666666"/>
          <w:sz w:val="19"/>
        </w:rPr>
        <w:t>Initial game integration: iRacing</w:t>
      </w:r>
    </w:p>
    <w:p>
      <w:r>
        <w:br w:type="page"/>
      </w:r>
    </w:p>
    <w:p>
      <w:pPr>
        <w:pStyle w:val="Heading1"/>
      </w:pPr>
      <w:r>
        <w:t>1. Project objective</w:t>
      </w:r>
    </w:p>
    <w:p>
      <w:r>
        <w:t>Build a personalized race-engineer application that reads live racing telemetry, decides what information is useful for the current driver and race context, converts the decision into concise language, and speaks it locally. The initial integration targets iRacing, while the internal contracts must allow additional simulators, policy strategies, language generators, and speech engines to be added without changing the core pipeline.</w:t>
      </w:r>
    </w:p>
    <w:p>
      <w:pPr>
        <w:spacing w:before="100" w:after="180" w:line="288" w:lineRule="auto"/>
        <w:ind w:left="173" w:right="115"/>
        <w:shd w:fill="F4F6F9"/>
        <w:pBdr>
          <w:left w:val="single" w:sz="18" w:space="8" w:color="2E74B5"/>
        </w:pBdr>
      </w:pPr>
      <w:r>
        <w:rPr>
          <w:rFonts w:ascii="Calibri" w:hAnsi="Calibri"/>
          <w:b/>
          <w:color w:val="1F4D78"/>
        </w:rPr>
        <w:t xml:space="preserve">Architecture decision: </w:t>
      </w:r>
      <w:r>
        <w:rPr>
          <w:rFonts w:ascii="Calibri" w:hAnsi="Calibri"/>
          <w:color w:val="000000"/>
        </w:rPr>
        <w:t>The policy engine is the product's central intelligence. Telemetry collection, language generation, and text-to-speech are replaceable adapters around it.</w:t>
      </w:r>
    </w:p>
    <w:p>
      <w:pPr>
        <w:pStyle w:val="Heading1"/>
      </w:pPr>
      <w:r>
        <w:t>2. Scope and guiding decisions</w:t>
      </w:r>
    </w:p>
    <w:p>
      <w:pPr>
        <w:numPr>
          <w:ilvl w:val="0"/>
          <w:numId w:val="10"/>
        </w:numPr>
      </w:pPr>
      <w:r>
        <w:rPr>
          <w:rFonts w:ascii="Calibri" w:hAnsi="Calibri"/>
        </w:rPr>
        <w:t>Python is the primary implementation language for the runtime, ML experimentation, and desktop application.</w:t>
      </w:r>
    </w:p>
    <w:p>
      <w:pPr>
        <w:numPr>
          <w:ilvl w:val="0"/>
          <w:numId w:val="10"/>
        </w:numPr>
      </w:pPr>
      <w:r>
        <w:rPr>
          <w:rFonts w:ascii="Calibri" w:hAnsi="Calibri"/>
        </w:rPr>
        <w:t>The first deliverable runs headlessly; PySide6 is added when configuration and monitoring require a desktop interface.</w:t>
      </w:r>
    </w:p>
    <w:p>
      <w:pPr>
        <w:numPr>
          <w:ilvl w:val="0"/>
          <w:numId w:val="10"/>
        </w:numPr>
      </w:pPr>
      <w:r>
        <w:rPr>
          <w:rFonts w:ascii="Calibri" w:hAnsi="Calibri"/>
        </w:rPr>
        <w:t>Game support uses the Adapter pattern. Raw game-specific telemetry never leaks into the policy engine.</w:t>
      </w:r>
    </w:p>
    <w:p>
      <w:pPr>
        <w:numPr>
          <w:ilvl w:val="0"/>
          <w:numId w:val="10"/>
        </w:numPr>
      </w:pPr>
      <w:r>
        <w:rPr>
          <w:rFonts w:ascii="Calibri" w:hAnsi="Calibri"/>
        </w:rPr>
        <w:t>Policy behavior supports strict, adaptive, and hybrid strategies through a common interface.</w:t>
      </w:r>
    </w:p>
    <w:p>
      <w:pPr>
        <w:numPr>
          <w:ilvl w:val="0"/>
          <w:numId w:val="10"/>
        </w:numPr>
      </w:pPr>
      <w:r>
        <w:rPr>
          <w:rFonts w:ascii="Calibri" w:hAnsi="Calibri"/>
        </w:rPr>
        <w:t>Language generation is model- and provider-agnostic. It may use a local model initially, but no model-specific assumptions belong in domain logic.</w:t>
      </w:r>
    </w:p>
    <w:p>
      <w:pPr>
        <w:numPr>
          <w:ilvl w:val="0"/>
          <w:numId w:val="10"/>
        </w:numPr>
      </w:pPr>
      <w:r>
        <w:rPr>
          <w:rFonts w:ascii="Calibri" w:hAnsi="Calibri"/>
        </w:rPr>
        <w:t>Text-to-speech is engine-agnostic and isolated behind its own interface.</w:t>
      </w:r>
    </w:p>
    <w:p>
      <w:pPr>
        <w:numPr>
          <w:ilvl w:val="0"/>
          <w:numId w:val="10"/>
        </w:numPr>
      </w:pPr>
      <w:r>
        <w:rPr>
          <w:rFonts w:ascii="Calibri" w:hAnsi="Calibri"/>
        </w:rPr>
        <w:t>User data, preferences, and learned behavior remain local by default.</w:t>
      </w:r>
    </w:p>
    <w:p>
      <w:pPr>
        <w:pStyle w:val="Heading2"/>
      </w:pPr>
      <w:r>
        <w:t>Initial scope</w:t>
      </w:r>
    </w:p>
    <w:p>
      <w:r>
        <w:t>The first usable version reads a limited, reliable telemetry subset; creates deterministic race events; applies a strict policy; generates short utterances; and plays them through a local speech engine. Adaptive personalization follows only after the event and decision logs are trustworthy.</w:t>
      </w:r>
    </w:p>
    <w:p>
      <w:pPr>
        <w:pStyle w:val="Heading2"/>
      </w:pPr>
      <w:r>
        <w:t>Deferred scope</w:t>
      </w:r>
    </w:p>
    <w:p>
      <w:r>
        <w:t>Voice-command recognition, sophisticated strategy prediction, support for additional simulators, model fine-tuning, and a polished desktop UI are later increments. A future speech-to-text adapter can submit commands such as 'talk less' directly to the policy engine without changing the outbound four-stage pipeline.</w:t>
      </w:r>
    </w:p>
    <w:p>
      <w:pPr>
        <w:pStyle w:val="Heading1"/>
      </w:pPr>
      <w:r>
        <w:t>3. System architecture</w:t>
      </w:r>
    </w:p>
    <w:p>
      <w:pPr>
        <w:spacing w:before="120" w:after="200"/>
        <w:jc w:val="center"/>
        <w:shd w:fill="E8EEF5"/>
      </w:pPr>
      <w:r>
        <w:rPr>
          <w:rFonts w:ascii="Calibri" w:hAnsi="Calibri"/>
          <w:b/>
          <w:color w:val="203748"/>
          <w:sz w:val="22"/>
        </w:rPr>
        <w:t>TELEMETRY ADAPTER  →  POLICY ENGINE  →  LANGUAGE GENERATOR  →  TTS ENGINE</w:t>
      </w:r>
    </w:p>
    <w:tbl>
      <w:tblPr>
        <w:tblStyle w:val="TableGrid"/>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800"/>
        <w:gridCol w:w="3240"/>
        <w:gridCol w:w="1980"/>
        <w:gridCol w:w="234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b/>
                <w:color w:val="1F4D78"/>
                <w:sz w:val="19"/>
              </w:rPr>
              <w:t>Component</w:t>
            </w:r>
          </w:p>
        </w:tc>
        <w:tc>
          <w:tcPr>
            <w:tcW w:type="dxa" w:w="3240"/>
            <w:shd w:fill="E8EEF5"/>
            <w:vAlign w:val="center"/>
            <w:tcMar>
              <w:top w:w="80" w:type="dxa"/>
              <w:start w:w="120" w:type="dxa"/>
              <w:bottom w:w="80" w:type="dxa"/>
              <w:end w:w="120" w:type="dxa"/>
            </w:tcMar>
          </w:tcPr>
          <w:p>
            <w:pPr>
              <w:spacing w:after="0"/>
            </w:pPr>
            <w:r>
              <w:rPr>
                <w:rFonts w:ascii="Calibri" w:hAnsi="Calibri"/>
                <w:b/>
                <w:color w:val="1F4D78"/>
                <w:sz w:val="19"/>
              </w:rPr>
              <w:t>Primary responsibility</w:t>
            </w:r>
          </w:p>
        </w:tc>
        <w:tc>
          <w:tcPr>
            <w:tcW w:type="dxa" w:w="1980"/>
            <w:shd w:fill="E8EEF5"/>
            <w:vAlign w:val="center"/>
            <w:tcMar>
              <w:top w:w="80" w:type="dxa"/>
              <w:start w:w="120" w:type="dxa"/>
              <w:bottom w:w="80" w:type="dxa"/>
              <w:end w:w="120" w:type="dxa"/>
            </w:tcMar>
          </w:tcPr>
          <w:p>
            <w:pPr>
              <w:spacing w:after="0"/>
            </w:pPr>
            <w:r>
              <w:rPr>
                <w:rFonts w:ascii="Calibri" w:hAnsi="Calibri"/>
                <w:b/>
                <w:color w:val="1F4D78"/>
                <w:sz w:val="19"/>
              </w:rPr>
              <w:t>Consumes</w:t>
            </w:r>
          </w:p>
        </w:tc>
        <w:tc>
          <w:tcPr>
            <w:tcW w:type="dxa" w:w="2340"/>
            <w:shd w:fill="E8EEF5"/>
            <w:vAlign w:val="center"/>
            <w:tcMar>
              <w:top w:w="80" w:type="dxa"/>
              <w:start w:w="120" w:type="dxa"/>
              <w:bottom w:w="80" w:type="dxa"/>
              <w:end w:w="120" w:type="dxa"/>
            </w:tcMar>
          </w:tcPr>
          <w:p>
            <w:pPr>
              <w:spacing w:after="0"/>
            </w:pPr>
            <w:r>
              <w:rPr>
                <w:rFonts w:ascii="Calibri" w:hAnsi="Calibri"/>
                <w:b/>
                <w:color w:val="1F4D78"/>
                <w:sz w:val="19"/>
              </w:rPr>
              <w:t>Produces</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8"/>
              </w:rPr>
              <w:t>Telemetry adapter</w:t>
            </w:r>
          </w:p>
        </w:tc>
        <w:tc>
          <w:tcPr>
            <w:tcW w:type="dxa" w:w="3240"/>
            <w:vAlign w:val="center"/>
            <w:tcMar>
              <w:top w:w="80" w:type="dxa"/>
              <w:start w:w="120" w:type="dxa"/>
              <w:bottom w:w="80" w:type="dxa"/>
              <w:end w:w="120" w:type="dxa"/>
            </w:tcMar>
          </w:tcPr>
          <w:p>
            <w:pPr>
              <w:spacing w:after="0" w:line="259" w:lineRule="auto"/>
            </w:pPr>
            <w:r>
              <w:rPr>
                <w:rFonts w:ascii="Calibri" w:hAnsi="Calibri"/>
                <w:color w:val="000000"/>
                <w:sz w:val="18"/>
              </w:rPr>
              <w:t>Read and normalize simulator data</w:t>
            </w:r>
          </w:p>
        </w:tc>
        <w:tc>
          <w:tcPr>
            <w:tcW w:type="dxa" w:w="1980"/>
            <w:vAlign w:val="center"/>
            <w:tcMar>
              <w:top w:w="80" w:type="dxa"/>
              <w:start w:w="120" w:type="dxa"/>
              <w:bottom w:w="80" w:type="dxa"/>
              <w:end w:w="120" w:type="dxa"/>
            </w:tcMar>
          </w:tcPr>
          <w:p>
            <w:pPr>
              <w:spacing w:after="0" w:line="259" w:lineRule="auto"/>
            </w:pPr>
            <w:r>
              <w:rPr>
                <w:rFonts w:ascii="Calibri" w:hAnsi="Calibri"/>
                <w:color w:val="000000"/>
                <w:sz w:val="18"/>
              </w:rPr>
              <w:t>Game SDK or shared memory</w:t>
            </w:r>
          </w:p>
        </w:tc>
        <w:tc>
          <w:tcPr>
            <w:tcW w:type="dxa" w:w="2340"/>
            <w:vAlign w:val="center"/>
            <w:tcMar>
              <w:top w:w="80" w:type="dxa"/>
              <w:start w:w="120" w:type="dxa"/>
              <w:bottom w:w="80" w:type="dxa"/>
              <w:end w:w="120" w:type="dxa"/>
            </w:tcMar>
          </w:tcPr>
          <w:p>
            <w:pPr>
              <w:spacing w:after="0" w:line="259" w:lineRule="auto"/>
            </w:pPr>
            <w:r>
              <w:rPr>
                <w:rFonts w:ascii="Calibri" w:hAnsi="Calibri"/>
                <w:color w:val="000000"/>
                <w:sz w:val="18"/>
              </w:rPr>
              <w:t>TelemetryFrame and RaceEvent</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8"/>
              </w:rPr>
              <w:t>Policy engine</w:t>
            </w:r>
          </w:p>
        </w:tc>
        <w:tc>
          <w:tcPr>
            <w:tcW w:type="dxa" w:w="3240"/>
            <w:vAlign w:val="center"/>
            <w:tcMar>
              <w:top w:w="80" w:type="dxa"/>
              <w:start w:w="120" w:type="dxa"/>
              <w:bottom w:w="80" w:type="dxa"/>
              <w:end w:w="120" w:type="dxa"/>
            </w:tcMar>
          </w:tcPr>
          <w:p>
            <w:pPr>
              <w:spacing w:after="0" w:line="259" w:lineRule="auto"/>
            </w:pPr>
            <w:r>
              <w:rPr>
                <w:rFonts w:ascii="Calibri" w:hAnsi="Calibri"/>
                <w:color w:val="000000"/>
                <w:sz w:val="18"/>
              </w:rPr>
              <w:t>Analyze, prioritize, suppress, schedule, and learn</w:t>
            </w:r>
          </w:p>
        </w:tc>
        <w:tc>
          <w:tcPr>
            <w:tcW w:type="dxa" w:w="1980"/>
            <w:vAlign w:val="center"/>
            <w:tcMar>
              <w:top w:w="80" w:type="dxa"/>
              <w:start w:w="120" w:type="dxa"/>
              <w:bottom w:w="80" w:type="dxa"/>
              <w:end w:w="120" w:type="dxa"/>
            </w:tcMar>
          </w:tcPr>
          <w:p>
            <w:pPr>
              <w:spacing w:after="0" w:line="259" w:lineRule="auto"/>
            </w:pPr>
            <w:r>
              <w:rPr>
                <w:rFonts w:ascii="Calibri" w:hAnsi="Calibri"/>
                <w:color w:val="000000"/>
                <w:sz w:val="18"/>
              </w:rPr>
              <w:t>RaceContext, profile, history</w:t>
            </w:r>
          </w:p>
        </w:tc>
        <w:tc>
          <w:tcPr>
            <w:tcW w:type="dxa" w:w="2340"/>
            <w:vAlign w:val="center"/>
            <w:tcMar>
              <w:top w:w="80" w:type="dxa"/>
              <w:start w:w="120" w:type="dxa"/>
              <w:bottom w:w="80" w:type="dxa"/>
              <w:end w:w="120" w:type="dxa"/>
            </w:tcMar>
          </w:tcPr>
          <w:p>
            <w:pPr>
              <w:spacing w:after="0" w:line="259" w:lineRule="auto"/>
            </w:pPr>
            <w:r>
              <w:rPr>
                <w:rFonts w:ascii="Calibri" w:hAnsi="Calibri"/>
                <w:color w:val="000000"/>
                <w:sz w:val="18"/>
              </w:rPr>
              <w:t>SpeechIntent</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8"/>
              </w:rPr>
              <w:t>Language generator</w:t>
            </w:r>
          </w:p>
        </w:tc>
        <w:tc>
          <w:tcPr>
            <w:tcW w:type="dxa" w:w="3240"/>
            <w:vAlign w:val="center"/>
            <w:tcMar>
              <w:top w:w="80" w:type="dxa"/>
              <w:start w:w="120" w:type="dxa"/>
              <w:bottom w:w="80" w:type="dxa"/>
              <w:end w:w="120" w:type="dxa"/>
            </w:tcMar>
          </w:tcPr>
          <w:p>
            <w:pPr>
              <w:spacing w:after="0" w:line="259" w:lineRule="auto"/>
            </w:pPr>
            <w:r>
              <w:rPr>
                <w:rFonts w:ascii="Calibri" w:hAnsi="Calibri"/>
                <w:color w:val="000000"/>
                <w:sz w:val="18"/>
              </w:rPr>
              <w:t>Verbalize approved facts within constraints</w:t>
            </w:r>
          </w:p>
        </w:tc>
        <w:tc>
          <w:tcPr>
            <w:tcW w:type="dxa" w:w="1980"/>
            <w:vAlign w:val="center"/>
            <w:tcMar>
              <w:top w:w="80" w:type="dxa"/>
              <w:start w:w="120" w:type="dxa"/>
              <w:bottom w:w="80" w:type="dxa"/>
              <w:end w:w="120" w:type="dxa"/>
            </w:tcMar>
          </w:tcPr>
          <w:p>
            <w:pPr>
              <w:spacing w:after="0" w:line="259" w:lineRule="auto"/>
            </w:pPr>
            <w:r>
              <w:rPr>
                <w:rFonts w:ascii="Calibri" w:hAnsi="Calibri"/>
                <w:color w:val="000000"/>
                <w:sz w:val="18"/>
              </w:rPr>
              <w:t>SpeechIntent</w:t>
            </w:r>
          </w:p>
        </w:tc>
        <w:tc>
          <w:tcPr>
            <w:tcW w:type="dxa" w:w="2340"/>
            <w:vAlign w:val="center"/>
            <w:tcMar>
              <w:top w:w="80" w:type="dxa"/>
              <w:start w:w="120" w:type="dxa"/>
              <w:bottom w:w="80" w:type="dxa"/>
              <w:end w:w="120" w:type="dxa"/>
            </w:tcMar>
          </w:tcPr>
          <w:p>
            <w:pPr>
              <w:spacing w:after="0" w:line="259" w:lineRule="auto"/>
            </w:pPr>
            <w:r>
              <w:rPr>
                <w:rFonts w:ascii="Calibri" w:hAnsi="Calibri"/>
                <w:color w:val="000000"/>
                <w:sz w:val="18"/>
              </w:rPr>
              <w:t>Utterance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8"/>
              </w:rPr>
              <w:t>TTS engine</w:t>
            </w:r>
          </w:p>
        </w:tc>
        <w:tc>
          <w:tcPr>
            <w:tcW w:type="dxa" w:w="3240"/>
            <w:vAlign w:val="center"/>
            <w:tcMar>
              <w:top w:w="80" w:type="dxa"/>
              <w:start w:w="120" w:type="dxa"/>
              <w:bottom w:w="80" w:type="dxa"/>
              <w:end w:w="120" w:type="dxa"/>
            </w:tcMar>
          </w:tcPr>
          <w:p>
            <w:pPr>
              <w:spacing w:after="0" w:line="259" w:lineRule="auto"/>
            </w:pPr>
            <w:r>
              <w:rPr>
                <w:rFonts w:ascii="Calibri" w:hAnsi="Calibri"/>
                <w:color w:val="000000"/>
                <w:sz w:val="18"/>
              </w:rPr>
              <w:t>Synthesize, queue, interrupt, and play audio</w:t>
            </w:r>
          </w:p>
        </w:tc>
        <w:tc>
          <w:tcPr>
            <w:tcW w:type="dxa" w:w="1980"/>
            <w:vAlign w:val="center"/>
            <w:tcMar>
              <w:top w:w="80" w:type="dxa"/>
              <w:start w:w="120" w:type="dxa"/>
              <w:bottom w:w="80" w:type="dxa"/>
              <w:end w:w="120" w:type="dxa"/>
            </w:tcMar>
          </w:tcPr>
          <w:p>
            <w:pPr>
              <w:spacing w:after="0" w:line="259" w:lineRule="auto"/>
            </w:pPr>
            <w:r>
              <w:rPr>
                <w:rFonts w:ascii="Calibri" w:hAnsi="Calibri"/>
                <w:color w:val="000000"/>
                <w:sz w:val="18"/>
              </w:rPr>
              <w:t>Utterance</w:t>
            </w:r>
          </w:p>
        </w:tc>
        <w:tc>
          <w:tcPr>
            <w:tcW w:type="dxa" w:w="2340"/>
            <w:vAlign w:val="center"/>
            <w:tcMar>
              <w:top w:w="80" w:type="dxa"/>
              <w:start w:w="120" w:type="dxa"/>
              <w:bottom w:w="80" w:type="dxa"/>
              <w:end w:w="120" w:type="dxa"/>
            </w:tcMar>
          </w:tcPr>
          <w:p>
            <w:pPr>
              <w:spacing w:after="0" w:line="259" w:lineRule="auto"/>
            </w:pPr>
            <w:r>
              <w:rPr>
                <w:rFonts w:ascii="Calibri" w:hAnsi="Calibri"/>
                <w:color w:val="000000"/>
                <w:sz w:val="18"/>
              </w:rPr>
              <w:t>Audio playback and result</w:t>
            </w:r>
          </w:p>
        </w:tc>
      </w:tr>
    </w:tbl>
    <w:p>
      <w:pPr>
        <w:spacing w:after="0"/>
      </w:pPr>
    </w:p>
    <w:p>
      <w:pPr>
        <w:pStyle w:val="Heading2"/>
      </w:pPr>
      <w:r>
        <w:t>Cross-cutting services</w:t>
      </w:r>
    </w:p>
    <w:p>
      <w:pPr>
        <w:numPr>
          <w:ilvl w:val="0"/>
          <w:numId w:val="10"/>
        </w:numPr>
      </w:pPr>
      <w:r>
        <w:rPr>
          <w:rFonts w:ascii="Calibri" w:hAnsi="Calibri"/>
        </w:rPr>
        <w:t>Driver memory stores explicit preferences separately from inferred preferences.</w:t>
      </w:r>
    </w:p>
    <w:p>
      <w:pPr>
        <w:numPr>
          <w:ilvl w:val="0"/>
          <w:numId w:val="10"/>
        </w:numPr>
      </w:pPr>
      <w:r>
        <w:rPr>
          <w:rFonts w:ascii="Calibri" w:hAnsi="Calibri"/>
        </w:rPr>
        <w:t>Session logging records normalized events, policy decisions, spoken messages, and outcomes for debugging and future training.</w:t>
      </w:r>
    </w:p>
    <w:p>
      <w:pPr>
        <w:numPr>
          <w:ilvl w:val="0"/>
          <w:numId w:val="10"/>
        </w:numPr>
      </w:pPr>
      <w:r>
        <w:rPr>
          <w:rFonts w:ascii="Calibri" w:hAnsi="Calibri"/>
        </w:rPr>
        <w:t>Configuration selects adapters, policy mode, model endpoints, voices, resource budgets, and output devices.</w:t>
      </w:r>
    </w:p>
    <w:p>
      <w:pPr>
        <w:numPr>
          <w:ilvl w:val="0"/>
          <w:numId w:val="10"/>
        </w:numPr>
      </w:pPr>
      <w:r>
        <w:rPr>
          <w:rFonts w:ascii="Calibri" w:hAnsi="Calibri"/>
        </w:rPr>
        <w:t>Observability measures dropped events, decision latency, generation latency, queue depth, and failures.</w:t>
      </w:r>
    </w:p>
    <w:p>
      <w:pPr>
        <w:pStyle w:val="Heading1"/>
      </w:pPr>
      <w:r>
        <w:t>4. Technology baseline</w:t>
      </w:r>
    </w:p>
    <w:tbl>
      <w:tblPr>
        <w:tblStyle w:val="TableGrid"/>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400"/>
        <w:gridCol w:w="6960"/>
      </w:tblGrid>
      <w:tr>
        <w:trPr>
          <w:tblHeader w:val="true"/>
        </w:trPr>
        <w:tc>
          <w:tcPr>
            <w:tcW w:type="dxa" w:w="2400"/>
            <w:shd w:fill="E8EEF5"/>
            <w:vAlign w:val="center"/>
            <w:tcMar>
              <w:top w:w="80" w:type="dxa"/>
              <w:start w:w="120" w:type="dxa"/>
              <w:bottom w:w="80" w:type="dxa"/>
              <w:end w:w="120" w:type="dxa"/>
            </w:tcMar>
          </w:tcPr>
          <w:p>
            <w:pPr>
              <w:spacing w:after="0"/>
            </w:pPr>
            <w:r>
              <w:rPr>
                <w:rFonts w:ascii="Calibri" w:hAnsi="Calibri"/>
                <w:b/>
                <w:color w:val="1F4D78"/>
                <w:sz w:val="19"/>
              </w:rPr>
              <w:t>Concern</w:t>
            </w:r>
          </w:p>
        </w:tc>
        <w:tc>
          <w:tcPr>
            <w:tcW w:type="dxa" w:w="6960"/>
            <w:shd w:fill="E8EEF5"/>
            <w:vAlign w:val="center"/>
            <w:tcMar>
              <w:top w:w="80" w:type="dxa"/>
              <w:start w:w="120" w:type="dxa"/>
              <w:bottom w:w="80" w:type="dxa"/>
              <w:end w:w="120" w:type="dxa"/>
            </w:tcMar>
          </w:tcPr>
          <w:p>
            <w:pPr>
              <w:spacing w:after="0"/>
            </w:pPr>
            <w:r>
              <w:rPr>
                <w:rFonts w:ascii="Calibri" w:hAnsi="Calibri"/>
                <w:b/>
                <w:color w:val="1F4D78"/>
                <w:sz w:val="19"/>
              </w:rPr>
              <w:t>Baseline choice</w:t>
            </w:r>
          </w:p>
        </w:tc>
      </w:tr>
      <w:tr>
        <w:tc>
          <w:tcPr>
            <w:tcW w:type="dxa" w:w="2400"/>
            <w:vAlign w:val="center"/>
            <w:tcMar>
              <w:top w:w="80" w:type="dxa"/>
              <w:start w:w="120" w:type="dxa"/>
              <w:bottom w:w="80" w:type="dxa"/>
              <w:end w:w="120" w:type="dxa"/>
            </w:tcMar>
          </w:tcPr>
          <w:p>
            <w:pPr>
              <w:spacing w:after="0" w:line="259" w:lineRule="auto"/>
            </w:pPr>
            <w:r>
              <w:rPr>
                <w:rFonts w:ascii="Calibri" w:hAnsi="Calibri"/>
                <w:color w:val="000000"/>
                <w:sz w:val="18"/>
              </w:rPr>
              <w:t>Runtime</w:t>
            </w:r>
          </w:p>
        </w:tc>
        <w:tc>
          <w:tcPr>
            <w:tcW w:type="dxa" w:w="6960"/>
            <w:vAlign w:val="center"/>
            <w:tcMar>
              <w:top w:w="80" w:type="dxa"/>
              <w:start w:w="120" w:type="dxa"/>
              <w:bottom w:w="80" w:type="dxa"/>
              <w:end w:w="120" w:type="dxa"/>
            </w:tcMar>
          </w:tcPr>
          <w:p>
            <w:pPr>
              <w:spacing w:after="0" w:line="259" w:lineRule="auto"/>
            </w:pPr>
            <w:r>
              <w:rPr>
                <w:rFonts w:ascii="Calibri" w:hAnsi="Calibri"/>
                <w:color w:val="000000"/>
                <w:sz w:val="18"/>
              </w:rPr>
              <w:t>Python with type hints and an asyncio-based event pipeline</w:t>
            </w:r>
          </w:p>
        </w:tc>
      </w:tr>
      <w:tr>
        <w:tc>
          <w:tcPr>
            <w:tcW w:type="dxa" w:w="2400"/>
            <w:vAlign w:val="center"/>
            <w:tcMar>
              <w:top w:w="80" w:type="dxa"/>
              <w:start w:w="120" w:type="dxa"/>
              <w:bottom w:w="80" w:type="dxa"/>
              <w:end w:w="120" w:type="dxa"/>
            </w:tcMar>
          </w:tcPr>
          <w:p>
            <w:pPr>
              <w:spacing w:after="0" w:line="259" w:lineRule="auto"/>
            </w:pPr>
            <w:r>
              <w:rPr>
                <w:rFonts w:ascii="Calibri" w:hAnsi="Calibri"/>
                <w:color w:val="000000"/>
                <w:sz w:val="18"/>
              </w:rPr>
              <w:t>Desktop UI</w:t>
            </w:r>
          </w:p>
        </w:tc>
        <w:tc>
          <w:tcPr>
            <w:tcW w:type="dxa" w:w="6960"/>
            <w:vAlign w:val="center"/>
            <w:tcMar>
              <w:top w:w="80" w:type="dxa"/>
              <w:start w:w="120" w:type="dxa"/>
              <w:bottom w:w="80" w:type="dxa"/>
              <w:end w:w="120" w:type="dxa"/>
            </w:tcMar>
          </w:tcPr>
          <w:p>
            <w:pPr>
              <w:spacing w:after="0" w:line="259" w:lineRule="auto"/>
            </w:pPr>
            <w:r>
              <w:rPr>
                <w:rFonts w:ascii="Calibri" w:hAnsi="Calibri"/>
                <w:color w:val="000000"/>
                <w:sz w:val="18"/>
              </w:rPr>
              <w:t>PySide6 / Qt Widgets, introduced after the headless core works</w:t>
            </w:r>
          </w:p>
        </w:tc>
      </w:tr>
      <w:tr>
        <w:tc>
          <w:tcPr>
            <w:tcW w:type="dxa" w:w="2400"/>
            <w:vAlign w:val="center"/>
            <w:tcMar>
              <w:top w:w="80" w:type="dxa"/>
              <w:start w:w="120" w:type="dxa"/>
              <w:bottom w:w="80" w:type="dxa"/>
              <w:end w:w="120" w:type="dxa"/>
            </w:tcMar>
          </w:tcPr>
          <w:p>
            <w:pPr>
              <w:spacing w:after="0" w:line="259" w:lineRule="auto"/>
            </w:pPr>
            <w:r>
              <w:rPr>
                <w:rFonts w:ascii="Calibri" w:hAnsi="Calibri"/>
                <w:color w:val="000000"/>
                <w:sz w:val="18"/>
              </w:rPr>
              <w:t>Domain contracts</w:t>
            </w:r>
          </w:p>
        </w:tc>
        <w:tc>
          <w:tcPr>
            <w:tcW w:type="dxa" w:w="6960"/>
            <w:vAlign w:val="center"/>
            <w:tcMar>
              <w:top w:w="80" w:type="dxa"/>
              <w:start w:w="120" w:type="dxa"/>
              <w:bottom w:w="80" w:type="dxa"/>
              <w:end w:w="120" w:type="dxa"/>
            </w:tcMar>
          </w:tcPr>
          <w:p>
            <w:pPr>
              <w:spacing w:after="0" w:line="259" w:lineRule="auto"/>
            </w:pPr>
            <w:r>
              <w:rPr>
                <w:rFonts w:ascii="Calibri" w:hAnsi="Calibri"/>
                <w:color w:val="000000"/>
                <w:sz w:val="18"/>
              </w:rPr>
              <w:t>Dataclasses or Pydantic models with explicit versioning</w:t>
            </w:r>
          </w:p>
        </w:tc>
      </w:tr>
      <w:tr>
        <w:tc>
          <w:tcPr>
            <w:tcW w:type="dxa" w:w="2400"/>
            <w:vAlign w:val="center"/>
            <w:tcMar>
              <w:top w:w="80" w:type="dxa"/>
              <w:start w:w="120" w:type="dxa"/>
              <w:bottom w:w="80" w:type="dxa"/>
              <w:end w:w="120" w:type="dxa"/>
            </w:tcMar>
          </w:tcPr>
          <w:p>
            <w:pPr>
              <w:spacing w:after="0" w:line="259" w:lineRule="auto"/>
            </w:pPr>
            <w:r>
              <w:rPr>
                <w:rFonts w:ascii="Calibri" w:hAnsi="Calibri"/>
                <w:color w:val="000000"/>
                <w:sz w:val="18"/>
              </w:rPr>
              <w:t>Persistence</w:t>
            </w:r>
          </w:p>
        </w:tc>
        <w:tc>
          <w:tcPr>
            <w:tcW w:type="dxa" w:w="6960"/>
            <w:vAlign w:val="center"/>
            <w:tcMar>
              <w:top w:w="80" w:type="dxa"/>
              <w:start w:w="120" w:type="dxa"/>
              <w:bottom w:w="80" w:type="dxa"/>
              <w:end w:w="120" w:type="dxa"/>
            </w:tcMar>
          </w:tcPr>
          <w:p>
            <w:pPr>
              <w:spacing w:after="0" w:line="259" w:lineRule="auto"/>
            </w:pPr>
            <w:r>
              <w:rPr>
                <w:rFonts w:ascii="Calibri" w:hAnsi="Calibri"/>
                <w:color w:val="000000"/>
                <w:sz w:val="18"/>
              </w:rPr>
              <w:t>SQLite for profiles, preferences, configuration, and decision history</w:t>
            </w:r>
          </w:p>
        </w:tc>
      </w:tr>
      <w:tr>
        <w:tc>
          <w:tcPr>
            <w:tcW w:type="dxa" w:w="2400"/>
            <w:vAlign w:val="center"/>
            <w:tcMar>
              <w:top w:w="80" w:type="dxa"/>
              <w:start w:w="120" w:type="dxa"/>
              <w:bottom w:w="80" w:type="dxa"/>
              <w:end w:w="120" w:type="dxa"/>
            </w:tcMar>
          </w:tcPr>
          <w:p>
            <w:pPr>
              <w:spacing w:after="0" w:line="259" w:lineRule="auto"/>
            </w:pPr>
            <w:r>
              <w:rPr>
                <w:rFonts w:ascii="Calibri" w:hAnsi="Calibri"/>
                <w:color w:val="000000"/>
                <w:sz w:val="18"/>
              </w:rPr>
              <w:t>ML research</w:t>
            </w:r>
          </w:p>
        </w:tc>
        <w:tc>
          <w:tcPr>
            <w:tcW w:type="dxa" w:w="6960"/>
            <w:vAlign w:val="center"/>
            <w:tcMar>
              <w:top w:w="80" w:type="dxa"/>
              <w:start w:w="120" w:type="dxa"/>
              <w:bottom w:w="80" w:type="dxa"/>
              <w:end w:w="120" w:type="dxa"/>
            </w:tcMar>
          </w:tcPr>
          <w:p>
            <w:pPr>
              <w:spacing w:after="0" w:line="259" w:lineRule="auto"/>
            </w:pPr>
            <w:r>
              <w:rPr>
                <w:rFonts w:ascii="Calibri" w:hAnsi="Calibri"/>
                <w:color w:val="000000"/>
                <w:sz w:val="18"/>
              </w:rPr>
              <w:t>scikit-learn and/or PyTorch; selected models hidden behind a policy-model interface</w:t>
            </w:r>
          </w:p>
        </w:tc>
      </w:tr>
      <w:tr>
        <w:tc>
          <w:tcPr>
            <w:tcW w:type="dxa" w:w="2400"/>
            <w:vAlign w:val="center"/>
            <w:tcMar>
              <w:top w:w="80" w:type="dxa"/>
              <w:start w:w="120" w:type="dxa"/>
              <w:bottom w:w="80" w:type="dxa"/>
              <w:end w:w="120" w:type="dxa"/>
            </w:tcMar>
          </w:tcPr>
          <w:p>
            <w:pPr>
              <w:spacing w:after="0" w:line="259" w:lineRule="auto"/>
            </w:pPr>
            <w:r>
              <w:rPr>
                <w:rFonts w:ascii="Calibri" w:hAnsi="Calibri"/>
                <w:color w:val="000000"/>
                <w:sz w:val="18"/>
              </w:rPr>
              <w:t>Language generation</w:t>
            </w:r>
          </w:p>
        </w:tc>
        <w:tc>
          <w:tcPr>
            <w:tcW w:type="dxa" w:w="6960"/>
            <w:vAlign w:val="center"/>
            <w:tcMar>
              <w:top w:w="80" w:type="dxa"/>
              <w:start w:w="120" w:type="dxa"/>
              <w:bottom w:w="80" w:type="dxa"/>
              <w:end w:w="120" w:type="dxa"/>
            </w:tcMar>
          </w:tcPr>
          <w:p>
            <w:pPr>
              <w:spacing w:after="0" w:line="259" w:lineRule="auto"/>
            </w:pPr>
            <w:r>
              <w:rPr>
                <w:rFonts w:ascii="Calibri" w:hAnsi="Calibri"/>
                <w:color w:val="000000"/>
                <w:sz w:val="18"/>
              </w:rPr>
              <w:t>Pluggable local or remote generator adapter; implementation selected later</w:t>
            </w:r>
          </w:p>
        </w:tc>
      </w:tr>
      <w:tr>
        <w:tc>
          <w:tcPr>
            <w:tcW w:type="dxa" w:w="2400"/>
            <w:vAlign w:val="center"/>
            <w:tcMar>
              <w:top w:w="80" w:type="dxa"/>
              <w:start w:w="120" w:type="dxa"/>
              <w:bottom w:w="80" w:type="dxa"/>
              <w:end w:w="120" w:type="dxa"/>
            </w:tcMar>
          </w:tcPr>
          <w:p>
            <w:pPr>
              <w:spacing w:after="0" w:line="259" w:lineRule="auto"/>
            </w:pPr>
            <w:r>
              <w:rPr>
                <w:rFonts w:ascii="Calibri" w:hAnsi="Calibri"/>
                <w:color w:val="000000"/>
                <w:sz w:val="18"/>
              </w:rPr>
              <w:t>Text-to-speech</w:t>
            </w:r>
          </w:p>
        </w:tc>
        <w:tc>
          <w:tcPr>
            <w:tcW w:type="dxa" w:w="6960"/>
            <w:vAlign w:val="center"/>
            <w:tcMar>
              <w:top w:w="80" w:type="dxa"/>
              <w:start w:w="120" w:type="dxa"/>
              <w:bottom w:w="80" w:type="dxa"/>
              <w:end w:w="120" w:type="dxa"/>
            </w:tcMar>
          </w:tcPr>
          <w:p>
            <w:pPr>
              <w:spacing w:after="0" w:line="259" w:lineRule="auto"/>
            </w:pPr>
            <w:r>
              <w:rPr>
                <w:rFonts w:ascii="Calibri" w:hAnsi="Calibri"/>
                <w:color w:val="000000"/>
                <w:sz w:val="18"/>
              </w:rPr>
              <w:t>Pluggable local speech-engine adapter; implementation selected after quality and latency tests</w:t>
            </w:r>
          </w:p>
        </w:tc>
      </w:tr>
      <w:tr>
        <w:tc>
          <w:tcPr>
            <w:tcW w:type="dxa" w:w="2400"/>
            <w:vAlign w:val="center"/>
            <w:tcMar>
              <w:top w:w="80" w:type="dxa"/>
              <w:start w:w="120" w:type="dxa"/>
              <w:bottom w:w="80" w:type="dxa"/>
              <w:end w:w="120" w:type="dxa"/>
            </w:tcMar>
          </w:tcPr>
          <w:p>
            <w:pPr>
              <w:spacing w:after="0" w:line="259" w:lineRule="auto"/>
            </w:pPr>
            <w:r>
              <w:rPr>
                <w:rFonts w:ascii="Calibri" w:hAnsi="Calibri"/>
                <w:color w:val="000000"/>
                <w:sz w:val="18"/>
              </w:rPr>
              <w:t>Packaging</w:t>
            </w:r>
          </w:p>
        </w:tc>
        <w:tc>
          <w:tcPr>
            <w:tcW w:type="dxa" w:w="6960"/>
            <w:vAlign w:val="center"/>
            <w:tcMar>
              <w:top w:w="80" w:type="dxa"/>
              <w:start w:w="120" w:type="dxa"/>
              <w:bottom w:w="80" w:type="dxa"/>
              <w:end w:w="120" w:type="dxa"/>
            </w:tcMar>
          </w:tcPr>
          <w:p>
            <w:pPr>
              <w:spacing w:after="0" w:line="259" w:lineRule="auto"/>
            </w:pPr>
            <w:r>
              <w:rPr>
                <w:rFonts w:ascii="Calibri" w:hAnsi="Calibri"/>
                <w:color w:val="000000"/>
                <w:sz w:val="18"/>
              </w:rPr>
              <w:t>pyside6-deploy/Nuitka for Windows when the GUI is introduced</w:t>
            </w:r>
          </w:p>
        </w:tc>
      </w:tr>
    </w:tbl>
    <w:p>
      <w:pPr>
        <w:spacing w:after="0"/>
      </w:pPr>
    </w:p>
    <w:p>
      <w:pPr>
        <w:spacing w:before="100" w:after="180" w:line="288" w:lineRule="auto"/>
        <w:ind w:left="173" w:right="115"/>
        <w:shd w:fill="F4F6F9"/>
        <w:pBdr>
          <w:left w:val="single" w:sz="18" w:space="8" w:color="2E74B5"/>
        </w:pBdr>
      </w:pPr>
      <w:r>
        <w:rPr>
          <w:rFonts w:ascii="Calibri" w:hAnsi="Calibri"/>
          <w:b/>
          <w:color w:val="1F4D78"/>
        </w:rPr>
        <w:t xml:space="preserve">Constraint: </w:t>
      </w:r>
      <w:r>
        <w:rPr>
          <w:rFonts w:ascii="Calibri" w:hAnsi="Calibri"/>
          <w:color w:val="000000"/>
        </w:rPr>
        <w:t>Qt belongs only to the presentation layer. Telemetry, policy, generation, speech, and persistence packages must remain runnable without a GUI.</w:t>
      </w:r>
    </w:p>
    <w:p>
      <w:pPr>
        <w:pStyle w:val="Heading1"/>
      </w:pPr>
      <w:r>
        <w:t>5. Core contracts</w:t>
      </w:r>
    </w:p>
    <w:p>
      <w:r>
        <w:t>Contracts are defined before the first SDK integration. They form the compatibility boundary between game-specific data and the reusable intelligence pipeline.</w:t>
      </w:r>
    </w:p>
    <w:tbl>
      <w:tblPr>
        <w:tblStyle w:val="TableGrid"/>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800"/>
        <w:gridCol w:w="3060"/>
        <w:gridCol w:w="450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b/>
                <w:color w:val="1F4D78"/>
                <w:sz w:val="19"/>
              </w:rPr>
              <w:t>Contract</w:t>
            </w:r>
          </w:p>
        </w:tc>
        <w:tc>
          <w:tcPr>
            <w:tcW w:type="dxa" w:w="3060"/>
            <w:shd w:fill="E8EEF5"/>
            <w:vAlign w:val="center"/>
            <w:tcMar>
              <w:top w:w="80" w:type="dxa"/>
              <w:start w:w="120" w:type="dxa"/>
              <w:bottom w:w="80" w:type="dxa"/>
              <w:end w:w="120" w:type="dxa"/>
            </w:tcMar>
          </w:tcPr>
          <w:p>
            <w:pPr>
              <w:spacing w:after="0"/>
            </w:pPr>
            <w:r>
              <w:rPr>
                <w:rFonts w:ascii="Calibri" w:hAnsi="Calibri"/>
                <w:b/>
                <w:color w:val="1F4D78"/>
                <w:sz w:val="19"/>
              </w:rPr>
              <w:t>Purpose</w:t>
            </w:r>
          </w:p>
        </w:tc>
        <w:tc>
          <w:tcPr>
            <w:tcW w:type="dxa" w:w="4500"/>
            <w:shd w:fill="E8EEF5"/>
            <w:vAlign w:val="center"/>
            <w:tcMar>
              <w:top w:w="80" w:type="dxa"/>
              <w:start w:w="120" w:type="dxa"/>
              <w:bottom w:w="80" w:type="dxa"/>
              <w:end w:w="120" w:type="dxa"/>
            </w:tcMar>
          </w:tcPr>
          <w:p>
            <w:pPr>
              <w:spacing w:after="0"/>
            </w:pPr>
            <w:r>
              <w:rPr>
                <w:rFonts w:ascii="Calibri" w:hAnsi="Calibri"/>
                <w:b/>
                <w:color w:val="1F4D78"/>
                <w:sz w:val="19"/>
              </w:rPr>
              <w:t>Representative fields</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8"/>
              </w:rPr>
              <w:t>TelemetryFrame</w:t>
            </w:r>
          </w:p>
        </w:tc>
        <w:tc>
          <w:tcPr>
            <w:tcW w:type="dxa" w:w="3060"/>
            <w:vAlign w:val="center"/>
            <w:tcMar>
              <w:top w:w="80" w:type="dxa"/>
              <w:start w:w="120" w:type="dxa"/>
              <w:bottom w:w="80" w:type="dxa"/>
              <w:end w:w="120" w:type="dxa"/>
            </w:tcMar>
          </w:tcPr>
          <w:p>
            <w:pPr>
              <w:spacing w:after="0" w:line="259" w:lineRule="auto"/>
            </w:pPr>
            <w:r>
              <w:rPr>
                <w:rFonts w:ascii="Calibri" w:hAnsi="Calibri"/>
                <w:color w:val="000000"/>
                <w:sz w:val="18"/>
              </w:rPr>
              <w:t>Normalized point-in-time sample</w:t>
            </w:r>
          </w:p>
        </w:tc>
        <w:tc>
          <w:tcPr>
            <w:tcW w:type="dxa" w:w="4500"/>
            <w:vAlign w:val="center"/>
            <w:tcMar>
              <w:top w:w="80" w:type="dxa"/>
              <w:start w:w="120" w:type="dxa"/>
              <w:bottom w:w="80" w:type="dxa"/>
              <w:end w:w="120" w:type="dxa"/>
            </w:tcMar>
          </w:tcPr>
          <w:p>
            <w:pPr>
              <w:spacing w:after="0" w:line="259" w:lineRule="auto"/>
            </w:pPr>
            <w:r>
              <w:rPr>
                <w:rFonts w:ascii="Calibri" w:hAnsi="Calibri"/>
                <w:color w:val="000000"/>
                <w:sz w:val="18"/>
              </w:rPr>
              <w:t>timestamp, session, player, vehicle, opponents, flags, capabilities</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8"/>
              </w:rPr>
              <w:t>RaceEvent</w:t>
            </w:r>
          </w:p>
        </w:tc>
        <w:tc>
          <w:tcPr>
            <w:tcW w:type="dxa" w:w="3060"/>
            <w:vAlign w:val="center"/>
            <w:tcMar>
              <w:top w:w="80" w:type="dxa"/>
              <w:start w:w="120" w:type="dxa"/>
              <w:bottom w:w="80" w:type="dxa"/>
              <w:end w:w="120" w:type="dxa"/>
            </w:tcMar>
          </w:tcPr>
          <w:p>
            <w:pPr>
              <w:spacing w:after="0" w:line="259" w:lineRule="auto"/>
            </w:pPr>
            <w:r>
              <w:rPr>
                <w:rFonts w:ascii="Calibri" w:hAnsi="Calibri"/>
                <w:color w:val="000000"/>
                <w:sz w:val="18"/>
              </w:rPr>
              <w:t>Meaningful change derived from one or more frames</w:t>
            </w:r>
          </w:p>
        </w:tc>
        <w:tc>
          <w:tcPr>
            <w:tcW w:type="dxa" w:w="4500"/>
            <w:vAlign w:val="center"/>
            <w:tcMar>
              <w:top w:w="80" w:type="dxa"/>
              <w:start w:w="120" w:type="dxa"/>
              <w:bottom w:w="80" w:type="dxa"/>
              <w:end w:w="120" w:type="dxa"/>
            </w:tcMar>
          </w:tcPr>
          <w:p>
            <w:pPr>
              <w:spacing w:after="0" w:line="259" w:lineRule="auto"/>
            </w:pPr>
            <w:r>
              <w:rPr>
                <w:rFonts w:ascii="Calibri" w:hAnsi="Calibri"/>
                <w:color w:val="000000"/>
                <w:sz w:val="18"/>
              </w:rPr>
              <w:t>event type, facts, confidence, urgency, expiry</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8"/>
              </w:rPr>
              <w:t>RaceContext</w:t>
            </w:r>
          </w:p>
        </w:tc>
        <w:tc>
          <w:tcPr>
            <w:tcW w:type="dxa" w:w="3060"/>
            <w:vAlign w:val="center"/>
            <w:tcMar>
              <w:top w:w="80" w:type="dxa"/>
              <w:start w:w="120" w:type="dxa"/>
              <w:bottom w:w="80" w:type="dxa"/>
              <w:end w:w="120" w:type="dxa"/>
            </w:tcMar>
          </w:tcPr>
          <w:p>
            <w:pPr>
              <w:spacing w:after="0" w:line="259" w:lineRule="auto"/>
            </w:pPr>
            <w:r>
              <w:rPr>
                <w:rFonts w:ascii="Calibri" w:hAnsi="Calibri"/>
                <w:color w:val="000000"/>
                <w:sz w:val="18"/>
              </w:rPr>
              <w:t>State accumulated for policy evaluation</w:t>
            </w:r>
          </w:p>
        </w:tc>
        <w:tc>
          <w:tcPr>
            <w:tcW w:type="dxa" w:w="4500"/>
            <w:vAlign w:val="center"/>
            <w:tcMar>
              <w:top w:w="80" w:type="dxa"/>
              <w:start w:w="120" w:type="dxa"/>
              <w:bottom w:w="80" w:type="dxa"/>
              <w:end w:w="120" w:type="dxa"/>
            </w:tcMar>
          </w:tcPr>
          <w:p>
            <w:pPr>
              <w:spacing w:after="0" w:line="259" w:lineRule="auto"/>
            </w:pPr>
            <w:r>
              <w:rPr>
                <w:rFonts w:ascii="Calibri" w:hAnsi="Calibri"/>
                <w:color w:val="000000"/>
                <w:sz w:val="18"/>
              </w:rPr>
              <w:t>stint, fuel trend, gaps, traffic, battle state, recent events</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8"/>
              </w:rPr>
              <w:t>CandidateMessage</w:t>
            </w:r>
          </w:p>
        </w:tc>
        <w:tc>
          <w:tcPr>
            <w:tcW w:type="dxa" w:w="3060"/>
            <w:vAlign w:val="center"/>
            <w:tcMar>
              <w:top w:w="80" w:type="dxa"/>
              <w:start w:w="120" w:type="dxa"/>
              <w:bottom w:w="80" w:type="dxa"/>
              <w:end w:w="120" w:type="dxa"/>
            </w:tcMar>
          </w:tcPr>
          <w:p>
            <w:pPr>
              <w:spacing w:after="0" w:line="259" w:lineRule="auto"/>
            </w:pPr>
            <w:r>
              <w:rPr>
                <w:rFonts w:ascii="Calibri" w:hAnsi="Calibri"/>
                <w:color w:val="000000"/>
                <w:sz w:val="18"/>
              </w:rPr>
              <w:t>Potential information before policy selection</w:t>
            </w:r>
          </w:p>
        </w:tc>
        <w:tc>
          <w:tcPr>
            <w:tcW w:type="dxa" w:w="4500"/>
            <w:vAlign w:val="center"/>
            <w:tcMar>
              <w:top w:w="80" w:type="dxa"/>
              <w:start w:w="120" w:type="dxa"/>
              <w:bottom w:w="80" w:type="dxa"/>
              <w:end w:w="120" w:type="dxa"/>
            </w:tcMar>
          </w:tcPr>
          <w:p>
            <w:pPr>
              <w:spacing w:after="0" w:line="259" w:lineRule="auto"/>
            </w:pPr>
            <w:r>
              <w:rPr>
                <w:rFonts w:ascii="Calibri" w:hAnsi="Calibri"/>
                <w:color w:val="000000"/>
                <w:sz w:val="18"/>
              </w:rPr>
              <w:t>category, facts, base priority, expiry, interruptibility</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8"/>
              </w:rPr>
              <w:t>SpeechIntent</w:t>
            </w:r>
          </w:p>
        </w:tc>
        <w:tc>
          <w:tcPr>
            <w:tcW w:type="dxa" w:w="3060"/>
            <w:vAlign w:val="center"/>
            <w:tcMar>
              <w:top w:w="80" w:type="dxa"/>
              <w:start w:w="120" w:type="dxa"/>
              <w:bottom w:w="80" w:type="dxa"/>
              <w:end w:w="120" w:type="dxa"/>
            </w:tcMar>
          </w:tcPr>
          <w:p>
            <w:pPr>
              <w:spacing w:after="0" w:line="259" w:lineRule="auto"/>
            </w:pPr>
            <w:r>
              <w:rPr>
                <w:rFonts w:ascii="Calibri" w:hAnsi="Calibri"/>
                <w:color w:val="000000"/>
                <w:sz w:val="18"/>
              </w:rPr>
              <w:t>Approved message specification</w:t>
            </w:r>
          </w:p>
        </w:tc>
        <w:tc>
          <w:tcPr>
            <w:tcW w:type="dxa" w:w="4500"/>
            <w:vAlign w:val="center"/>
            <w:tcMar>
              <w:top w:w="80" w:type="dxa"/>
              <w:start w:w="120" w:type="dxa"/>
              <w:bottom w:w="80" w:type="dxa"/>
              <w:end w:w="120" w:type="dxa"/>
            </w:tcMar>
          </w:tcPr>
          <w:p>
            <w:pPr>
              <w:spacing w:after="0" w:line="259" w:lineRule="auto"/>
            </w:pPr>
            <w:r>
              <w:rPr>
                <w:rFonts w:ascii="Calibri" w:hAnsi="Calibri"/>
                <w:color w:val="000000"/>
                <w:sz w:val="18"/>
              </w:rPr>
              <w:t>facts, priority, tone, max words, deadline, interruption policy</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8"/>
              </w:rPr>
              <w:t>Utterance</w:t>
            </w:r>
          </w:p>
        </w:tc>
        <w:tc>
          <w:tcPr>
            <w:tcW w:type="dxa" w:w="3060"/>
            <w:vAlign w:val="center"/>
            <w:tcMar>
              <w:top w:w="80" w:type="dxa"/>
              <w:start w:w="120" w:type="dxa"/>
              <w:bottom w:w="80" w:type="dxa"/>
              <w:end w:w="120" w:type="dxa"/>
            </w:tcMar>
          </w:tcPr>
          <w:p>
            <w:pPr>
              <w:spacing w:after="0" w:line="259" w:lineRule="auto"/>
            </w:pPr>
            <w:r>
              <w:rPr>
                <w:rFonts w:ascii="Calibri" w:hAnsi="Calibri"/>
                <w:color w:val="000000"/>
                <w:sz w:val="18"/>
              </w:rPr>
              <w:t>Validated language-generator result</w:t>
            </w:r>
          </w:p>
        </w:tc>
        <w:tc>
          <w:tcPr>
            <w:tcW w:type="dxa" w:w="4500"/>
            <w:vAlign w:val="center"/>
            <w:tcMar>
              <w:top w:w="80" w:type="dxa"/>
              <w:start w:w="120" w:type="dxa"/>
              <w:bottom w:w="80" w:type="dxa"/>
              <w:end w:w="120" w:type="dxa"/>
            </w:tcMar>
          </w:tcPr>
          <w:p>
            <w:pPr>
              <w:spacing w:after="0" w:line="259" w:lineRule="auto"/>
            </w:pPr>
            <w:r>
              <w:rPr>
                <w:rFonts w:ascii="Calibri" w:hAnsi="Calibri"/>
                <w:color w:val="000000"/>
                <w:sz w:val="18"/>
              </w:rPr>
              <w:t>text, pronunciation hints, generator metadata</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000000"/>
                <w:sz w:val="18"/>
              </w:rPr>
              <w:t>PreferenceCommand</w:t>
            </w:r>
          </w:p>
        </w:tc>
        <w:tc>
          <w:tcPr>
            <w:tcW w:type="dxa" w:w="3060"/>
            <w:vAlign w:val="center"/>
            <w:tcMar>
              <w:top w:w="80" w:type="dxa"/>
              <w:start w:w="120" w:type="dxa"/>
              <w:bottom w:w="80" w:type="dxa"/>
              <w:end w:w="120" w:type="dxa"/>
            </w:tcMar>
          </w:tcPr>
          <w:p>
            <w:pPr>
              <w:spacing w:after="0" w:line="259" w:lineRule="auto"/>
            </w:pPr>
            <w:r>
              <w:rPr>
                <w:rFonts w:ascii="Calibri" w:hAnsi="Calibri"/>
                <w:color w:val="000000"/>
                <w:sz w:val="18"/>
              </w:rPr>
              <w:t>Explicit driver instruction</w:t>
            </w:r>
          </w:p>
        </w:tc>
        <w:tc>
          <w:tcPr>
            <w:tcW w:type="dxa" w:w="4500"/>
            <w:vAlign w:val="center"/>
            <w:tcMar>
              <w:top w:w="80" w:type="dxa"/>
              <w:start w:w="120" w:type="dxa"/>
              <w:bottom w:w="80" w:type="dxa"/>
              <w:end w:w="120" w:type="dxa"/>
            </w:tcMar>
          </w:tcPr>
          <w:p>
            <w:pPr>
              <w:spacing w:after="0" w:line="259" w:lineRule="auto"/>
            </w:pPr>
            <w:r>
              <w:rPr>
                <w:rFonts w:ascii="Calibri" w:hAnsi="Calibri"/>
                <w:color w:val="000000"/>
                <w:sz w:val="18"/>
              </w:rPr>
              <w:t>setting, value, source, timestamp, scope</w:t>
            </w:r>
          </w:p>
        </w:tc>
      </w:tr>
    </w:tbl>
    <w:p>
      <w:pPr>
        <w:spacing w:after="0"/>
      </w:pPr>
    </w:p>
    <w:p>
      <w:pPr>
        <w:pStyle w:val="Heading2"/>
      </w:pPr>
      <w:r>
        <w:t>Adapter interfaces</w:t>
      </w:r>
    </w:p>
    <w:p>
      <w:pPr>
        <w:spacing w:before="100" w:after="160" w:line="252" w:lineRule="auto"/>
        <w:ind w:left="259" w:right="173"/>
        <w:shd w:fill="F2F4F7"/>
      </w:pPr>
      <w:r>
        <w:rPr>
          <w:rFonts w:ascii="Consolas" w:hAnsi="Consolas"/>
          <w:color w:val="203748"/>
          <w:sz w:val="18"/>
        </w:rPr>
        <w:t>class TelemetryAdapter(Protocol):</w:t>
      </w:r>
      <w:r>
        <w:br/>
      </w:r>
      <w:r>
        <w:rPr>
          <w:rFonts w:ascii="Consolas" w:hAnsi="Consolas"/>
          <w:color w:val="203748"/>
          <w:sz w:val="18"/>
        </w:rPr>
        <w:t xml:space="preserve">    async def stream(self) -&gt; AsyncIterator[TelemetryFrame]: ...</w:t>
      </w:r>
      <w:r>
        <w:br/>
      </w:r>
      <w:r>
        <w:rPr>
          <w:rFonts w:ascii="Consolas" w:hAnsi="Consolas"/>
          <w:color w:val="203748"/>
          <w:sz w:val="18"/>
        </w:rPr>
      </w:r>
      <w:r>
        <w:br/>
      </w:r>
      <w:r>
        <w:rPr>
          <w:rFonts w:ascii="Consolas" w:hAnsi="Consolas"/>
          <w:color w:val="203748"/>
          <w:sz w:val="18"/>
        </w:rPr>
        <w:t>class PolicyStrategy(Protocol):</w:t>
      </w:r>
      <w:r>
        <w:br/>
      </w:r>
      <w:r>
        <w:rPr>
          <w:rFonts w:ascii="Consolas" w:hAnsi="Consolas"/>
          <w:color w:val="203748"/>
          <w:sz w:val="18"/>
        </w:rPr>
        <w:t xml:space="preserve">    async def decide(self, context: RaceContext) -&gt; list[SpeechIntent]: ...</w:t>
      </w:r>
      <w:r>
        <w:br/>
      </w:r>
      <w:r>
        <w:rPr>
          <w:rFonts w:ascii="Consolas" w:hAnsi="Consolas"/>
          <w:color w:val="203748"/>
          <w:sz w:val="18"/>
        </w:rPr>
      </w:r>
      <w:r>
        <w:br/>
      </w:r>
      <w:r>
        <w:rPr>
          <w:rFonts w:ascii="Consolas" w:hAnsi="Consolas"/>
          <w:color w:val="203748"/>
          <w:sz w:val="18"/>
        </w:rPr>
        <w:t>class LanguageGenerator(Protocol):</w:t>
      </w:r>
      <w:r>
        <w:br/>
      </w:r>
      <w:r>
        <w:rPr>
          <w:rFonts w:ascii="Consolas" w:hAnsi="Consolas"/>
          <w:color w:val="203748"/>
          <w:sz w:val="18"/>
        </w:rPr>
        <w:t xml:space="preserve">    async def generate(self, intent: SpeechIntent) -&gt; Utterance: ...</w:t>
      </w:r>
      <w:r>
        <w:br/>
      </w:r>
      <w:r>
        <w:rPr>
          <w:rFonts w:ascii="Consolas" w:hAnsi="Consolas"/>
          <w:color w:val="203748"/>
          <w:sz w:val="18"/>
        </w:rPr>
      </w:r>
      <w:r>
        <w:br/>
      </w:r>
      <w:r>
        <w:rPr>
          <w:rFonts w:ascii="Consolas" w:hAnsi="Consolas"/>
          <w:color w:val="203748"/>
          <w:sz w:val="18"/>
        </w:rPr>
        <w:t>class TextToSpeechEngine(Protocol):</w:t>
      </w:r>
      <w:r>
        <w:br/>
      </w:r>
      <w:r>
        <w:rPr>
          <w:rFonts w:ascii="Consolas" w:hAnsi="Consolas"/>
          <w:color w:val="203748"/>
          <w:sz w:val="18"/>
        </w:rPr>
        <w:t xml:space="preserve">    async def speak(self, utterance: Utterance) -&gt; PlaybackResult: ...</w:t>
      </w:r>
    </w:p>
    <w:p>
      <w:pPr>
        <w:pStyle w:val="Heading1"/>
      </w:pPr>
      <w:r>
        <w:t>6. Component implementation plan</w:t>
      </w:r>
    </w:p>
    <w:p>
      <w:pPr>
        <w:pStyle w:val="Heading2"/>
      </w:pPr>
      <w:r>
        <w:t>6.1 Telemetry adapter</w:t>
      </w:r>
    </w:p>
    <w:p>
      <w:r>
        <w:t>The iRacing adapter reads the local telemetry feed, tracks connection and session lifecycle, normalizes units and identifiers, and emits versioned domain contracts. It must expose capability metadata because not every simulator provides the same fields.</w:t>
      </w:r>
    </w:p>
    <w:p>
      <w:pPr>
        <w:numPr>
          <w:ilvl w:val="0"/>
          <w:numId w:val="10"/>
        </w:numPr>
      </w:pPr>
      <w:r>
        <w:rPr>
          <w:rFonts w:ascii="Calibri" w:hAnsi="Calibri"/>
        </w:rPr>
        <w:t>Start with session state, lap and position, fuel, gaps, flags, pit state, and opponent identifiers where reliable.</w:t>
      </w:r>
    </w:p>
    <w:p>
      <w:pPr>
        <w:numPr>
          <w:ilvl w:val="0"/>
          <w:numId w:val="10"/>
        </w:numPr>
      </w:pPr>
      <w:r>
        <w:rPr>
          <w:rFonts w:ascii="Calibri" w:hAnsi="Calibri"/>
        </w:rPr>
        <w:t>Separate raw sampling from event derivation so recorded frames can be replayed through the same logic.</w:t>
      </w:r>
    </w:p>
    <w:p>
      <w:pPr>
        <w:numPr>
          <w:ilvl w:val="0"/>
          <w:numId w:val="10"/>
        </w:numPr>
      </w:pPr>
      <w:r>
        <w:rPr>
          <w:rFonts w:ascii="Calibri" w:hAnsi="Calibri"/>
        </w:rPr>
        <w:t>Handle simulator startup, disconnect, replay mode, session transition, missing variables, and stale frames explicitly.</w:t>
      </w:r>
    </w:p>
    <w:p>
      <w:pPr>
        <w:numPr>
          <w:ilvl w:val="0"/>
          <w:numId w:val="10"/>
        </w:numPr>
      </w:pPr>
      <w:r>
        <w:rPr>
          <w:rFonts w:ascii="Calibri" w:hAnsi="Calibri"/>
        </w:rPr>
        <w:t>Write adapter contract tests against recorded fixtures before expanding the telemetry surface.</w:t>
      </w:r>
    </w:p>
    <w:p>
      <w:pPr>
        <w:pStyle w:val="Heading2"/>
      </w:pPr>
      <w:r>
        <w:t>6.2 Policy engine</w:t>
      </w:r>
    </w:p>
    <w:p>
      <w:r>
        <w:t>The policy engine receives only normalized race data. It produces candidate messages, applies non-negotiable constraints, ranks eligible messages, schedules delivery, and records the decision. It must work before any learned model is introduced.</w:t>
      </w:r>
    </w:p>
    <w:p>
      <w:pPr>
        <w:numPr>
          <w:ilvl w:val="0"/>
          <w:numId w:val="10"/>
        </w:numPr>
      </w:pPr>
      <w:r>
        <w:rPr>
          <w:rFonts w:ascii="Calibri" w:hAnsi="Calibri"/>
        </w:rPr>
        <w:t>StrictRulePolicy applies deterministic thresholds and user-authored rules.</w:t>
      </w:r>
    </w:p>
    <w:p>
      <w:pPr>
        <w:numPr>
          <w:ilvl w:val="0"/>
          <w:numId w:val="10"/>
        </w:numPr>
      </w:pPr>
      <w:r>
        <w:rPr>
          <w:rFonts w:ascii="Calibri" w:hAnsi="Calibri"/>
        </w:rPr>
        <w:t>AdaptivePolicy uses a pluggable ranking model to estimate the usefulness of each candidate in context.</w:t>
      </w:r>
    </w:p>
    <w:p>
      <w:pPr>
        <w:numPr>
          <w:ilvl w:val="0"/>
          <w:numId w:val="10"/>
        </w:numPr>
      </w:pPr>
      <w:r>
        <w:rPr>
          <w:rFonts w:ascii="Calibri" w:hAnsi="Calibri"/>
        </w:rPr>
        <w:t>HybridPolicy applies critical and explicit rules first, then uses the ranking model inside the permitted space.</w:t>
      </w:r>
    </w:p>
    <w:p>
      <w:pPr>
        <w:numPr>
          <w:ilvl w:val="0"/>
          <w:numId w:val="10"/>
        </w:numPr>
      </w:pPr>
      <w:r>
        <w:rPr>
          <w:rFonts w:ascii="Calibri" w:hAnsi="Calibri"/>
        </w:rPr>
        <w:t>Critical calls may bypass learned ranking and language generation when predictable latency or wording is required.</w:t>
      </w:r>
    </w:p>
    <w:p>
      <w:pPr>
        <w:numPr>
          <w:ilvl w:val="0"/>
          <w:numId w:val="10"/>
        </w:numPr>
      </w:pPr>
      <w:r>
        <w:rPr>
          <w:rFonts w:ascii="Calibri" w:hAnsi="Calibri"/>
        </w:rPr>
        <w:t>Expired or superseded messages are dropped; the engine must not narrate stale race conditions.</w:t>
      </w:r>
    </w:p>
    <w:p>
      <w:pPr>
        <w:pStyle w:val="Heading3"/>
      </w:pPr>
      <w:r>
        <w:t>Personalization model</w:t>
      </w:r>
    </w:p>
    <w:p>
      <w:r>
        <w:t>Explicit preferences take effect immediately and are never inferred indirectly. For example, 'talk less' updates a durable communication-frequency setting and message budget. Learned preferences are stored separately with confidence and provenance. The first adaptive implementation should be a lightweight ranker or contextual bandit; deeper models are considered only if logged data demonstrates a need.</w:t>
      </w:r>
    </w:p>
    <w:p>
      <w:pPr>
        <w:pStyle w:val="Heading3"/>
      </w:pPr>
      <w:r>
        <w:t>Post-M3 improvement: Jev-assisted policy ranking</w:t>
      </w:r>
    </w:p>
    <w:p>
      <w:r>
        <w:t>After M3 completes the end-to-end speech path, add Jev (TypeSafe AI) as an optional PolicyRanker for ambiguous, noncritical decisions. It may answer bounded questions such as whether to speak, which candidate has greatest value, or how relevant a candidate is. It does not replace StrictRulePolicy, create facts, generate wording, or directly schedule playback.</w:t>
      </w:r>
    </w:p>
    <w:p>
      <w:r>
        <w:t>Critical safety and race-control calls remain deterministic. Jev calls are event-triggered; timeout, service failure, or low confidence falls back to the strict policy. The adapter receives only compact, privacy-safe derived context and is disabled unless the driver explicitly opts into remote processing.</w:t>
      </w:r>
    </w:p>
    <w:p>
      <w:r>
        <w:t>The first rollout is shadow mode: persist typed decisions, probabilities, confidence, latency, adapter version, and disagreements without changing audible output. Promotion requires replay tests and measured evidence that decision quality improves without unacceptable latency or false suppression.</w:t>
      </w:r>
    </w:p>
    <w:p>
      <w:pPr>
        <w:pStyle w:val="Heading2"/>
      </w:pPr>
      <w:r>
        <w:t>6.3 Language generation</w:t>
      </w:r>
    </w:p>
    <w:p>
      <w:r>
        <w:t>The language generator converts an approved SpeechIntent into a short utterance. It does not calculate fuel, choose strategy, rank messages, or add facts. The interface remains independent of any particular LLM, runtime, API, quantization format, or vendor.</w:t>
      </w:r>
    </w:p>
    <w:p>
      <w:pPr>
        <w:numPr>
          <w:ilvl w:val="0"/>
          <w:numId w:val="10"/>
        </w:numPr>
      </w:pPr>
      <w:r>
        <w:rPr>
          <w:rFonts w:ascii="Calibri" w:hAnsi="Calibri"/>
        </w:rPr>
        <w:t>Send only approved facts, tone, urgency, language, word limit, and pronunciation guidance.</w:t>
      </w:r>
    </w:p>
    <w:p>
      <w:pPr>
        <w:numPr>
          <w:ilvl w:val="0"/>
          <w:numId w:val="10"/>
        </w:numPr>
      </w:pPr>
      <w:r>
        <w:rPr>
          <w:rFonts w:ascii="Calibri" w:hAnsi="Calibri"/>
        </w:rPr>
        <w:t>Require a small structured response envelope and validate it before playback.</w:t>
      </w:r>
    </w:p>
    <w:p>
      <w:pPr>
        <w:numPr>
          <w:ilvl w:val="0"/>
          <w:numId w:val="10"/>
        </w:numPr>
      </w:pPr>
      <w:r>
        <w:rPr>
          <w:rFonts w:ascii="Calibri" w:hAnsi="Calibri"/>
        </w:rPr>
        <w:t>Provide deterministic templates as a fallback for generator failure, timeout, or critical messages.</w:t>
      </w:r>
    </w:p>
    <w:p>
      <w:pPr>
        <w:numPr>
          <w:ilvl w:val="0"/>
          <w:numId w:val="10"/>
        </w:numPr>
      </w:pPr>
      <w:r>
        <w:rPr>
          <w:rFonts w:ascii="Calibri" w:hAnsi="Calibri"/>
        </w:rPr>
        <w:t>Make generator replacement a configuration change rather than a policy-engine modification.</w:t>
      </w:r>
    </w:p>
    <w:p>
      <w:pPr>
        <w:numPr>
          <w:ilvl w:val="0"/>
          <w:numId w:val="10"/>
        </w:numPr>
      </w:pPr>
      <w:r>
        <w:rPr>
          <w:rFonts w:ascii="Calibri" w:hAnsi="Calibri"/>
        </w:rPr>
        <w:t>Log prompts and outputs only according to local privacy settings and without unnecessary raw telemetry.</w:t>
      </w:r>
    </w:p>
    <w:p>
      <w:pPr>
        <w:pStyle w:val="Heading2"/>
      </w:pPr>
      <w:r>
        <w:t>6.4 Text-to-speech</w:t>
      </w:r>
    </w:p>
    <w:p>
      <w:r>
        <w:t>The TTS module turns a validated utterance into audio and owns playback behavior. Its interface remains independent of the selected voice model or engine.</w:t>
      </w:r>
    </w:p>
    <w:p>
      <w:pPr>
        <w:numPr>
          <w:ilvl w:val="0"/>
          <w:numId w:val="10"/>
        </w:numPr>
      </w:pPr>
      <w:r>
        <w:rPr>
          <w:rFonts w:ascii="Calibri" w:hAnsi="Calibri"/>
        </w:rPr>
        <w:t>Support priority queues, message expiry, interruption, cancellation, and output-device selection.</w:t>
      </w:r>
    </w:p>
    <w:p>
      <w:pPr>
        <w:numPr>
          <w:ilvl w:val="0"/>
          <w:numId w:val="10"/>
        </w:numPr>
      </w:pPr>
      <w:r>
        <w:rPr>
          <w:rFonts w:ascii="Calibri" w:hAnsi="Calibri"/>
        </w:rPr>
        <w:t>Allow fixed critical phrases to be cached or pre-generated.</w:t>
      </w:r>
    </w:p>
    <w:p>
      <w:pPr>
        <w:numPr>
          <w:ilvl w:val="0"/>
          <w:numId w:val="10"/>
        </w:numPr>
      </w:pPr>
      <w:r>
        <w:rPr>
          <w:rFonts w:ascii="Calibri" w:hAnsi="Calibri"/>
        </w:rPr>
        <w:t>Expose voice, speed, volume, and language settings without leaking engine-specific options into the policy engine.</w:t>
      </w:r>
    </w:p>
    <w:p>
      <w:pPr>
        <w:numPr>
          <w:ilvl w:val="0"/>
          <w:numId w:val="10"/>
        </w:numPr>
      </w:pPr>
      <w:r>
        <w:rPr>
          <w:rFonts w:ascii="Calibri" w:hAnsi="Calibri"/>
        </w:rPr>
        <w:t>Measure synthesis start time and total playback delay while iRacing is under load.</w:t>
      </w:r>
    </w:p>
    <w:p>
      <w:pPr>
        <w:pStyle w:val="Heading1"/>
      </w:pPr>
      <w:r>
        <w:t>7. Runtime and repository structure</w:t>
      </w:r>
    </w:p>
    <w:p>
      <w:pPr>
        <w:spacing w:before="100" w:after="160" w:line="252" w:lineRule="auto"/>
        <w:ind w:left="259" w:right="173"/>
        <w:shd w:fill="F2F4F7"/>
      </w:pPr>
      <w:r>
        <w:rPr>
          <w:rFonts w:ascii="Consolas" w:hAnsi="Consolas"/>
          <w:color w:val="203748"/>
          <w:sz w:val="18"/>
        </w:rPr>
        <w:t>race_engineer/</w:t>
      </w:r>
      <w:r>
        <w:br/>
      </w:r>
      <w:r>
        <w:rPr>
          <w:rFonts w:ascii="Consolas" w:hAnsi="Consolas"/>
          <w:color w:val="203748"/>
          <w:sz w:val="18"/>
        </w:rPr>
        <w:t xml:space="preserve">  core/                 # Domain contracts and shared types</w:t>
      </w:r>
      <w:r>
        <w:br/>
      </w:r>
      <w:r>
        <w:rPr>
          <w:rFonts w:ascii="Consolas" w:hAnsi="Consolas"/>
          <w:color w:val="203748"/>
          <w:sz w:val="18"/>
        </w:rPr>
        <w:t xml:space="preserve">  telemetry/</w:t>
      </w:r>
      <w:r>
        <w:br/>
      </w:r>
      <w:r>
        <w:rPr>
          <w:rFonts w:ascii="Consolas" w:hAnsi="Consolas"/>
          <w:color w:val="203748"/>
          <w:sz w:val="18"/>
        </w:rPr>
        <w:t xml:space="preserve">    base.py             # TelemetryAdapter protocol</w:t>
      </w:r>
      <w:r>
        <w:br/>
      </w:r>
      <w:r>
        <w:rPr>
          <w:rFonts w:ascii="Consolas" w:hAnsi="Consolas"/>
          <w:color w:val="203748"/>
          <w:sz w:val="18"/>
        </w:rPr>
        <w:t xml:space="preserve">    iracing/             # First game adapter</w:t>
      </w:r>
      <w:r>
        <w:br/>
      </w:r>
      <w:r>
        <w:rPr>
          <w:rFonts w:ascii="Consolas" w:hAnsi="Consolas"/>
          <w:color w:val="203748"/>
          <w:sz w:val="18"/>
        </w:rPr>
        <w:t xml:space="preserve">  policy/</w:t>
      </w:r>
      <w:r>
        <w:br/>
      </w:r>
      <w:r>
        <w:rPr>
          <w:rFonts w:ascii="Consolas" w:hAnsi="Consolas"/>
          <w:color w:val="203748"/>
          <w:sz w:val="18"/>
        </w:rPr>
        <w:t xml:space="preserve">    rules/               # Strict policies</w:t>
      </w:r>
      <w:r>
        <w:br/>
      </w:r>
      <w:r>
        <w:rPr>
          <w:rFonts w:ascii="Consolas" w:hAnsi="Consolas"/>
          <w:color w:val="203748"/>
          <w:sz w:val="18"/>
        </w:rPr>
        <w:t xml:space="preserve">    adaptive/            # Ranking model adapters</w:t>
      </w:r>
      <w:r>
        <w:br/>
      </w:r>
      <w:r>
        <w:rPr>
          <w:rFonts w:ascii="Consolas" w:hAnsi="Consolas"/>
          <w:color w:val="203748"/>
          <w:sz w:val="18"/>
        </w:rPr>
        <w:t xml:space="preserve">    scheduler.py         # Priority, cooldown, expiry, interruption</w:t>
      </w:r>
      <w:r>
        <w:br/>
      </w:r>
      <w:r>
        <w:rPr>
          <w:rFonts w:ascii="Consolas" w:hAnsi="Consolas"/>
          <w:color w:val="203748"/>
          <w:sz w:val="18"/>
        </w:rPr>
        <w:t xml:space="preserve">  language/              # Model-agnostic LanguageGenerator adapters</w:t>
      </w:r>
      <w:r>
        <w:br/>
      </w:r>
      <w:r>
        <w:rPr>
          <w:rFonts w:ascii="Consolas" w:hAnsi="Consolas"/>
          <w:color w:val="203748"/>
          <w:sz w:val="18"/>
        </w:rPr>
        <w:t xml:space="preserve">  tts/                   # Engine-agnostic TextToSpeechEngine adapters</w:t>
      </w:r>
      <w:r>
        <w:br/>
      </w:r>
      <w:r>
        <w:rPr>
          <w:rFonts w:ascii="Consolas" w:hAnsi="Consolas"/>
          <w:color w:val="203748"/>
          <w:sz w:val="18"/>
        </w:rPr>
        <w:t xml:space="preserve">  memory/                # SQLite repositories and profile services</w:t>
      </w:r>
      <w:r>
        <w:br/>
      </w:r>
      <w:r>
        <w:rPr>
          <w:rFonts w:ascii="Consolas" w:hAnsi="Consolas"/>
          <w:color w:val="203748"/>
          <w:sz w:val="18"/>
        </w:rPr>
        <w:t xml:space="preserve">  application/           # Async orchestration and lifecycle</w:t>
      </w:r>
      <w:r>
        <w:br/>
      </w:r>
      <w:r>
        <w:rPr>
          <w:rFonts w:ascii="Consolas" w:hAnsi="Consolas"/>
          <w:color w:val="203748"/>
          <w:sz w:val="18"/>
        </w:rPr>
        <w:t xml:space="preserve">  ui/                     # Optional PySide6 layer</w:t>
      </w:r>
      <w:r>
        <w:br/>
      </w:r>
      <w:r>
        <w:rPr>
          <w:rFonts w:ascii="Consolas" w:hAnsi="Consolas"/>
          <w:color w:val="203748"/>
          <w:sz w:val="18"/>
        </w:rPr>
        <w:t>tests/</w:t>
      </w:r>
      <w:r>
        <w:br/>
      </w:r>
      <w:r>
        <w:rPr>
          <w:rFonts w:ascii="Consolas" w:hAnsi="Consolas"/>
          <w:color w:val="203748"/>
          <w:sz w:val="18"/>
        </w:rPr>
        <w:t>training/                # Experiments, datasets, and model export</w:t>
      </w:r>
    </w:p>
    <w:p>
      <w:r>
        <w:t>The initial application is a modular monolith. Inference components may run in child processes for isolation and resource control, but the project should not introduce networked services or distributed deployment until a real need appears.</w:t>
      </w:r>
    </w:p>
    <w:p>
      <w:pPr>
        <w:pStyle w:val="Heading1"/>
      </w:pPr>
      <w:r>
        <w:t>8. Delivery milestones</w:t>
      </w:r>
    </w:p>
    <w:tbl>
      <w:tblPr>
        <w:tblStyle w:val="TableGrid"/>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080"/>
        <w:gridCol w:w="2340"/>
        <w:gridCol w:w="5940"/>
      </w:tblGrid>
      <w:tr>
        <w:trPr>
          <w:tblHeader w:val="true"/>
        </w:trPr>
        <w:tc>
          <w:tcPr>
            <w:tcW w:type="dxa" w:w="1080"/>
            <w:shd w:fill="E8EEF5"/>
            <w:vAlign w:val="center"/>
            <w:tcMar>
              <w:top w:w="80" w:type="dxa"/>
              <w:start w:w="120" w:type="dxa"/>
              <w:bottom w:w="80" w:type="dxa"/>
              <w:end w:w="120" w:type="dxa"/>
            </w:tcMar>
          </w:tcPr>
          <w:p>
            <w:pPr>
              <w:spacing w:after="0"/>
            </w:pPr>
            <w:r>
              <w:rPr>
                <w:rFonts w:ascii="Calibri" w:hAnsi="Calibri"/>
                <w:b/>
                <w:color w:val="1F4D78"/>
                <w:sz w:val="19"/>
              </w:rPr>
              <w:t>Milestone</w:t>
            </w:r>
          </w:p>
        </w:tc>
        <w:tc>
          <w:tcPr>
            <w:tcW w:type="dxa" w:w="2340"/>
            <w:shd w:fill="E8EEF5"/>
            <w:vAlign w:val="center"/>
            <w:tcMar>
              <w:top w:w="80" w:type="dxa"/>
              <w:start w:w="120" w:type="dxa"/>
              <w:bottom w:w="80" w:type="dxa"/>
              <w:end w:w="120" w:type="dxa"/>
            </w:tcMar>
          </w:tcPr>
          <w:p>
            <w:pPr>
              <w:spacing w:after="0"/>
            </w:pPr>
            <w:r>
              <w:rPr>
                <w:rFonts w:ascii="Calibri" w:hAnsi="Calibri"/>
                <w:b/>
                <w:color w:val="1F4D78"/>
                <w:sz w:val="19"/>
              </w:rPr>
              <w:t>Focus</w:t>
            </w:r>
          </w:p>
        </w:tc>
        <w:tc>
          <w:tcPr>
            <w:tcW w:type="dxa" w:w="5940"/>
            <w:shd w:fill="E8EEF5"/>
            <w:vAlign w:val="center"/>
            <w:tcMar>
              <w:top w:w="80" w:type="dxa"/>
              <w:start w:w="120" w:type="dxa"/>
              <w:bottom w:w="80" w:type="dxa"/>
              <w:end w:w="120" w:type="dxa"/>
            </w:tcMar>
          </w:tcPr>
          <w:p>
            <w:pPr>
              <w:spacing w:after="0"/>
            </w:pPr>
            <w:r>
              <w:rPr>
                <w:rFonts w:ascii="Calibri" w:hAnsi="Calibri"/>
                <w:b/>
                <w:color w:val="1F4D78"/>
                <w:sz w:val="19"/>
              </w:rPr>
              <w:t>Exit criteria</w:t>
            </w:r>
          </w:p>
        </w:tc>
      </w:tr>
      <w:tr>
        <w:tc>
          <w:tcPr>
            <w:tcW w:type="dxa" w:w="1080"/>
            <w:vAlign w:val="center"/>
            <w:tcMar>
              <w:top w:w="80" w:type="dxa"/>
              <w:start w:w="120" w:type="dxa"/>
              <w:bottom w:w="80" w:type="dxa"/>
              <w:end w:w="120" w:type="dxa"/>
            </w:tcMar>
          </w:tcPr>
          <w:p>
            <w:pPr>
              <w:spacing w:after="0" w:line="259" w:lineRule="auto"/>
            </w:pPr>
            <w:r>
              <w:rPr>
                <w:rFonts w:ascii="Calibri" w:hAnsi="Calibri"/>
                <w:color w:val="000000"/>
                <w:sz w:val="18"/>
              </w:rPr>
              <w:t>M0</w:t>
            </w:r>
          </w:p>
        </w:tc>
        <w:tc>
          <w:tcPr>
            <w:tcW w:type="dxa" w:w="2340"/>
            <w:vAlign w:val="center"/>
            <w:tcMar>
              <w:top w:w="80" w:type="dxa"/>
              <w:start w:w="120" w:type="dxa"/>
              <w:bottom w:w="80" w:type="dxa"/>
              <w:end w:w="120" w:type="dxa"/>
            </w:tcMar>
          </w:tcPr>
          <w:p>
            <w:pPr>
              <w:spacing w:after="0" w:line="259" w:lineRule="auto"/>
            </w:pPr>
            <w:r>
              <w:rPr>
                <w:rFonts w:ascii="Calibri" w:hAnsi="Calibri"/>
                <w:color w:val="000000"/>
                <w:sz w:val="18"/>
              </w:rPr>
              <w:t>Contracts and skeleton</w:t>
            </w:r>
          </w:p>
        </w:tc>
        <w:tc>
          <w:tcPr>
            <w:tcW w:type="dxa" w:w="5940"/>
            <w:vAlign w:val="center"/>
            <w:tcMar>
              <w:top w:w="80" w:type="dxa"/>
              <w:start w:w="120" w:type="dxa"/>
              <w:bottom w:w="80" w:type="dxa"/>
              <w:end w:w="120" w:type="dxa"/>
            </w:tcMar>
          </w:tcPr>
          <w:p>
            <w:pPr>
              <w:spacing w:after="0" w:line="259" w:lineRule="auto"/>
            </w:pPr>
            <w:r>
              <w:rPr>
                <w:rFonts w:ascii="Calibri" w:hAnsi="Calibri"/>
                <w:color w:val="000000"/>
                <w:sz w:val="18"/>
              </w:rPr>
              <w:t>Packages, protocols, configuration, logging, and fixture format are agreed and tested.</w:t>
            </w:r>
          </w:p>
        </w:tc>
      </w:tr>
      <w:tr>
        <w:tc>
          <w:tcPr>
            <w:tcW w:type="dxa" w:w="1080"/>
            <w:vAlign w:val="center"/>
            <w:tcMar>
              <w:top w:w="80" w:type="dxa"/>
              <w:start w:w="120" w:type="dxa"/>
              <w:bottom w:w="80" w:type="dxa"/>
              <w:end w:w="120" w:type="dxa"/>
            </w:tcMar>
          </w:tcPr>
          <w:p>
            <w:pPr>
              <w:spacing w:after="0" w:line="259" w:lineRule="auto"/>
            </w:pPr>
            <w:r>
              <w:rPr>
                <w:rFonts w:ascii="Calibri" w:hAnsi="Calibri"/>
                <w:color w:val="000000"/>
                <w:sz w:val="18"/>
              </w:rPr>
              <w:t>M1</w:t>
            </w:r>
          </w:p>
        </w:tc>
        <w:tc>
          <w:tcPr>
            <w:tcW w:type="dxa" w:w="2340"/>
            <w:vAlign w:val="center"/>
            <w:tcMar>
              <w:top w:w="80" w:type="dxa"/>
              <w:start w:w="120" w:type="dxa"/>
              <w:bottom w:w="80" w:type="dxa"/>
              <w:end w:w="120" w:type="dxa"/>
            </w:tcMar>
          </w:tcPr>
          <w:p>
            <w:pPr>
              <w:spacing w:after="0" w:line="259" w:lineRule="auto"/>
            </w:pPr>
            <w:r>
              <w:rPr>
                <w:rFonts w:ascii="Calibri" w:hAnsi="Calibri"/>
                <w:color w:val="000000"/>
                <w:sz w:val="18"/>
              </w:rPr>
              <w:t>iRacing telemetry</w:t>
            </w:r>
          </w:p>
        </w:tc>
        <w:tc>
          <w:tcPr>
            <w:tcW w:type="dxa" w:w="5940"/>
            <w:vAlign w:val="center"/>
            <w:tcMar>
              <w:top w:w="80" w:type="dxa"/>
              <w:start w:w="120" w:type="dxa"/>
              <w:bottom w:w="80" w:type="dxa"/>
              <w:end w:w="120" w:type="dxa"/>
            </w:tcMar>
          </w:tcPr>
          <w:p>
            <w:pPr>
              <w:spacing w:after="0" w:line="259" w:lineRule="auto"/>
            </w:pPr>
            <w:r>
              <w:rPr>
                <w:rFonts w:ascii="Calibri" w:hAnsi="Calibri"/>
                <w:color w:val="000000"/>
                <w:sz w:val="18"/>
              </w:rPr>
              <w:t>The headless reader reconnects safely and records normalized frames and events from live sessions.</w:t>
            </w:r>
          </w:p>
        </w:tc>
      </w:tr>
      <w:tr>
        <w:tc>
          <w:tcPr>
            <w:tcW w:type="dxa" w:w="1080"/>
            <w:vAlign w:val="center"/>
            <w:tcMar>
              <w:top w:w="80" w:type="dxa"/>
              <w:start w:w="120" w:type="dxa"/>
              <w:bottom w:w="80" w:type="dxa"/>
              <w:end w:w="120" w:type="dxa"/>
            </w:tcMar>
          </w:tcPr>
          <w:p>
            <w:pPr>
              <w:spacing w:after="0" w:line="259" w:lineRule="auto"/>
            </w:pPr>
            <w:r>
              <w:rPr>
                <w:rFonts w:ascii="Calibri" w:hAnsi="Calibri"/>
                <w:color w:val="000000"/>
                <w:sz w:val="18"/>
              </w:rPr>
              <w:t>M2</w:t>
            </w:r>
          </w:p>
        </w:tc>
        <w:tc>
          <w:tcPr>
            <w:tcW w:type="dxa" w:w="2340"/>
            <w:vAlign w:val="center"/>
            <w:tcMar>
              <w:top w:w="80" w:type="dxa"/>
              <w:start w:w="120" w:type="dxa"/>
              <w:bottom w:w="80" w:type="dxa"/>
              <w:end w:w="120" w:type="dxa"/>
            </w:tcMar>
          </w:tcPr>
          <w:p>
            <w:pPr>
              <w:spacing w:after="0" w:line="259" w:lineRule="auto"/>
            </w:pPr>
            <w:r>
              <w:rPr>
                <w:rFonts w:ascii="Calibri" w:hAnsi="Calibri"/>
                <w:color w:val="000000"/>
                <w:sz w:val="18"/>
              </w:rPr>
              <w:t>Strict policy engine</w:t>
            </w:r>
          </w:p>
        </w:tc>
        <w:tc>
          <w:tcPr>
            <w:tcW w:type="dxa" w:w="5940"/>
            <w:vAlign w:val="center"/>
            <w:tcMar>
              <w:top w:w="80" w:type="dxa"/>
              <w:start w:w="120" w:type="dxa"/>
              <w:bottom w:w="80" w:type="dxa"/>
              <w:end w:w="120" w:type="dxa"/>
            </w:tcMar>
          </w:tcPr>
          <w:p>
            <w:pPr>
              <w:spacing w:after="0" w:line="259" w:lineRule="auto"/>
            </w:pPr>
            <w:r>
              <w:rPr>
                <w:rFonts w:ascii="Calibri" w:hAnsi="Calibri"/>
                <w:color w:val="000000"/>
                <w:sz w:val="18"/>
              </w:rPr>
              <w:t>Deterministic candidates, priorities, cooldowns, expiry, local preferences, and replay tests work.</w:t>
            </w:r>
          </w:p>
        </w:tc>
      </w:tr>
      <w:tr>
        <w:tc>
          <w:tcPr>
            <w:tcW w:type="dxa" w:w="1080"/>
            <w:vAlign w:val="center"/>
            <w:tcMar>
              <w:top w:w="80" w:type="dxa"/>
              <w:start w:w="120" w:type="dxa"/>
              <w:bottom w:w="80" w:type="dxa"/>
              <w:end w:w="120" w:type="dxa"/>
            </w:tcMar>
          </w:tcPr>
          <w:p>
            <w:pPr>
              <w:spacing w:after="0" w:line="259" w:lineRule="auto"/>
            </w:pPr>
            <w:r>
              <w:rPr>
                <w:rFonts w:ascii="Calibri" w:hAnsi="Calibri"/>
                <w:color w:val="000000"/>
                <w:sz w:val="18"/>
              </w:rPr>
              <w:t>M3</w:t>
            </w:r>
          </w:p>
        </w:tc>
        <w:tc>
          <w:tcPr>
            <w:tcW w:type="dxa" w:w="2340"/>
            <w:vAlign w:val="center"/>
            <w:tcMar>
              <w:top w:w="80" w:type="dxa"/>
              <w:start w:w="120" w:type="dxa"/>
              <w:bottom w:w="80" w:type="dxa"/>
              <w:end w:w="120" w:type="dxa"/>
            </w:tcMar>
          </w:tcPr>
          <w:p>
            <w:pPr>
              <w:spacing w:after="0" w:line="259" w:lineRule="auto"/>
            </w:pPr>
            <w:r>
              <w:rPr>
                <w:rFonts w:ascii="Calibri" w:hAnsi="Calibri"/>
                <w:color w:val="000000"/>
                <w:sz w:val="18"/>
              </w:rPr>
              <w:t>End-to-end speech</w:t>
            </w:r>
          </w:p>
        </w:tc>
        <w:tc>
          <w:tcPr>
            <w:tcW w:type="dxa" w:w="5940"/>
            <w:vAlign w:val="center"/>
            <w:tcMar>
              <w:top w:w="80" w:type="dxa"/>
              <w:start w:w="120" w:type="dxa"/>
              <w:bottom w:w="80" w:type="dxa"/>
              <w:end w:w="120" w:type="dxa"/>
            </w:tcMar>
          </w:tcPr>
          <w:p>
            <w:pPr>
              <w:spacing w:after="0" w:line="259" w:lineRule="auto"/>
            </w:pPr>
            <w:r>
              <w:rPr>
                <w:rFonts w:ascii="Calibri" w:hAnsi="Calibri"/>
                <w:color w:val="000000"/>
                <w:sz w:val="18"/>
              </w:rPr>
              <w:t>One pluggable language generator and one pluggable TTS engine produce timely spoken messages with fallbacks.</w:t>
            </w:r>
          </w:p>
        </w:tc>
      </w:tr>
      <w:tr>
        <w:tc>
          <w:tcPr>
            <w:tcW w:type="dxa" w:w="1080"/>
            <w:vAlign w:val="center"/>
            <w:tcMar>
              <w:top w:w="80" w:type="dxa"/>
              <w:start w:w="120" w:type="dxa"/>
              <w:bottom w:w="80" w:type="dxa"/>
              <w:end w:w="120" w:type="dxa"/>
            </w:tcMar>
          </w:tcPr>
          <w:p>
            <w:pPr>
              <w:spacing w:after="0" w:line="259" w:lineRule="auto"/>
            </w:pPr>
            <w:r>
              <w:rPr>
                <w:rFonts w:ascii="Calibri" w:hAnsi="Calibri"/>
                <w:color w:val="000000"/>
                <w:sz w:val="18"/>
              </w:rPr>
              <w:t>M4</w:t>
            </w:r>
          </w:p>
        </w:tc>
        <w:tc>
          <w:tcPr>
            <w:tcW w:type="dxa" w:w="2340"/>
            <w:vAlign w:val="center"/>
            <w:tcMar>
              <w:top w:w="80" w:type="dxa"/>
              <w:start w:w="120" w:type="dxa"/>
              <w:bottom w:w="80" w:type="dxa"/>
              <w:end w:w="120" w:type="dxa"/>
            </w:tcMar>
          </w:tcPr>
          <w:p>
            <w:pPr>
              <w:spacing w:after="0" w:line="259" w:lineRule="auto"/>
            </w:pPr>
            <w:r>
              <w:rPr>
                <w:rFonts w:ascii="Calibri" w:hAnsi="Calibri"/>
                <w:color w:val="000000"/>
                <w:sz w:val="18"/>
              </w:rPr>
              <w:t>Adaptive personalization and Jev-assisted ranking</w:t>
            </w:r>
          </w:p>
        </w:tc>
        <w:tc>
          <w:tcPr>
            <w:tcW w:type="dxa" w:w="5940"/>
            <w:vAlign w:val="center"/>
            <w:tcMar>
              <w:top w:w="80" w:type="dxa"/>
              <w:start w:w="120" w:type="dxa"/>
              <w:bottom w:w="80" w:type="dxa"/>
              <w:end w:w="120" w:type="dxa"/>
            </w:tcMar>
          </w:tcPr>
          <w:p>
            <w:pPr>
              <w:spacing w:after="0" w:line="259" w:lineRule="auto"/>
            </w:pPr>
            <w:r>
              <w:rPr>
                <w:rFonts w:ascii="Calibri" w:hAnsi="Calibri"/>
                <w:color w:val="000000"/>
                <w:sz w:val="18"/>
              </w:rPr>
              <w:t>An optional Jev adapter and a local baseline ranker run in shadow mode with strict safety rules, confidence thresholds, replay evidence, and deterministic fallback.</w:t>
            </w:r>
          </w:p>
        </w:tc>
      </w:tr>
      <w:tr>
        <w:tc>
          <w:tcPr>
            <w:tcW w:type="dxa" w:w="1080"/>
            <w:vAlign w:val="center"/>
            <w:tcMar>
              <w:top w:w="80" w:type="dxa"/>
              <w:start w:w="120" w:type="dxa"/>
              <w:bottom w:w="80" w:type="dxa"/>
              <w:end w:w="120" w:type="dxa"/>
            </w:tcMar>
          </w:tcPr>
          <w:p>
            <w:pPr>
              <w:spacing w:after="0" w:line="259" w:lineRule="auto"/>
            </w:pPr>
            <w:r>
              <w:rPr>
                <w:rFonts w:ascii="Calibri" w:hAnsi="Calibri"/>
                <w:color w:val="000000"/>
                <w:sz w:val="18"/>
              </w:rPr>
              <w:t>M5</w:t>
            </w:r>
          </w:p>
        </w:tc>
        <w:tc>
          <w:tcPr>
            <w:tcW w:type="dxa" w:w="2340"/>
            <w:vAlign w:val="center"/>
            <w:tcMar>
              <w:top w:w="80" w:type="dxa"/>
              <w:start w:w="120" w:type="dxa"/>
              <w:bottom w:w="80" w:type="dxa"/>
              <w:end w:w="120" w:type="dxa"/>
            </w:tcMar>
          </w:tcPr>
          <w:p>
            <w:pPr>
              <w:spacing w:after="0" w:line="259" w:lineRule="auto"/>
            </w:pPr>
            <w:r>
              <w:rPr>
                <w:rFonts w:ascii="Calibri" w:hAnsi="Calibri"/>
                <w:color w:val="000000"/>
                <w:sz w:val="18"/>
              </w:rPr>
              <w:t>Driver controls and UI</w:t>
            </w:r>
          </w:p>
        </w:tc>
        <w:tc>
          <w:tcPr>
            <w:tcW w:type="dxa" w:w="5940"/>
            <w:vAlign w:val="center"/>
            <w:tcMar>
              <w:top w:w="80" w:type="dxa"/>
              <w:start w:w="120" w:type="dxa"/>
              <w:bottom w:w="80" w:type="dxa"/>
              <w:end w:w="120" w:type="dxa"/>
            </w:tcMar>
          </w:tcPr>
          <w:p>
            <w:pPr>
              <w:spacing w:after="0" w:line="259" w:lineRule="auto"/>
            </w:pPr>
            <w:r>
              <w:rPr>
                <w:rFonts w:ascii="Calibri" w:hAnsi="Calibri"/>
                <w:color w:val="000000"/>
                <w:sz w:val="18"/>
              </w:rPr>
              <w:t>Preference commands, PySide6 tray/settings UI, resource controls, and session review are available.</w:t>
            </w:r>
          </w:p>
        </w:tc>
      </w:tr>
      <w:tr>
        <w:tc>
          <w:tcPr>
            <w:tcW w:type="dxa" w:w="1080"/>
            <w:vAlign w:val="center"/>
            <w:tcMar>
              <w:top w:w="80" w:type="dxa"/>
              <w:start w:w="120" w:type="dxa"/>
              <w:bottom w:w="80" w:type="dxa"/>
              <w:end w:w="120" w:type="dxa"/>
            </w:tcMar>
          </w:tcPr>
          <w:p>
            <w:pPr>
              <w:spacing w:after="0" w:line="259" w:lineRule="auto"/>
            </w:pPr>
            <w:r>
              <w:rPr>
                <w:rFonts w:ascii="Calibri" w:hAnsi="Calibri"/>
                <w:color w:val="000000"/>
                <w:sz w:val="18"/>
              </w:rPr>
              <w:t>M6</w:t>
            </w:r>
          </w:p>
        </w:tc>
        <w:tc>
          <w:tcPr>
            <w:tcW w:type="dxa" w:w="2340"/>
            <w:vAlign w:val="center"/>
            <w:tcMar>
              <w:top w:w="80" w:type="dxa"/>
              <w:start w:w="120" w:type="dxa"/>
              <w:bottom w:w="80" w:type="dxa"/>
              <w:end w:w="120" w:type="dxa"/>
            </w:tcMar>
          </w:tcPr>
          <w:p>
            <w:pPr>
              <w:spacing w:after="0" w:line="259" w:lineRule="auto"/>
            </w:pPr>
            <w:r>
              <w:rPr>
                <w:rFonts w:ascii="Calibri" w:hAnsi="Calibri"/>
                <w:color w:val="000000"/>
                <w:sz w:val="18"/>
              </w:rPr>
              <w:t>Second simulator</w:t>
            </w:r>
          </w:p>
        </w:tc>
        <w:tc>
          <w:tcPr>
            <w:tcW w:type="dxa" w:w="5940"/>
            <w:vAlign w:val="center"/>
            <w:tcMar>
              <w:top w:w="80" w:type="dxa"/>
              <w:start w:w="120" w:type="dxa"/>
              <w:bottom w:w="80" w:type="dxa"/>
              <w:end w:w="120" w:type="dxa"/>
            </w:tcMar>
          </w:tcPr>
          <w:p>
            <w:pPr>
              <w:spacing w:after="0" w:line="259" w:lineRule="auto"/>
            </w:pPr>
            <w:r>
              <w:rPr>
                <w:rFonts w:ascii="Calibri" w:hAnsi="Calibri"/>
                <w:color w:val="000000"/>
                <w:sz w:val="18"/>
              </w:rPr>
              <w:t>A second telemetry adapter proves that the core policy pipeline is game-independent.</w:t>
            </w:r>
          </w:p>
        </w:tc>
      </w:tr>
    </w:tbl>
    <w:p>
      <w:pPr>
        <w:spacing w:after="0"/>
      </w:pPr>
    </w:p>
    <w:p>
      <w:pPr>
        <w:pStyle w:val="Heading2"/>
      </w:pPr>
      <w:r>
        <w:t>Recommended build sequence</w:t>
      </w:r>
    </w:p>
    <w:p>
      <w:pPr>
        <w:numPr>
          <w:ilvl w:val="0"/>
          <w:numId w:val="11"/>
        </w:numPr>
      </w:pPr>
      <w:r>
        <w:rPr>
          <w:rFonts w:ascii="Calibri" w:hAnsi="Calibri"/>
        </w:rPr>
        <w:t>Finalize contract names, versioning rules, and package boundaries.</w:t>
      </w:r>
    </w:p>
    <w:p>
      <w:pPr>
        <w:numPr>
          <w:ilvl w:val="0"/>
          <w:numId w:val="11"/>
        </w:numPr>
      </w:pPr>
      <w:r>
        <w:rPr>
          <w:rFonts w:ascii="Calibri" w:hAnsi="Calibri"/>
        </w:rPr>
        <w:t>Implement the iRacing reader and record replayable telemetry fixtures.</w:t>
      </w:r>
    </w:p>
    <w:p>
      <w:pPr>
        <w:numPr>
          <w:ilvl w:val="0"/>
          <w:numId w:val="11"/>
        </w:numPr>
      </w:pPr>
      <w:r>
        <w:rPr>
          <w:rFonts w:ascii="Calibri" w:hAnsi="Calibri"/>
        </w:rPr>
        <w:t>Build event derivation and a strict policy without language generation.</w:t>
      </w:r>
    </w:p>
    <w:p>
      <w:pPr>
        <w:numPr>
          <w:ilvl w:val="0"/>
          <w:numId w:val="11"/>
        </w:numPr>
      </w:pPr>
      <w:r>
        <w:rPr>
          <w:rFonts w:ascii="Calibri" w:hAnsi="Calibri"/>
        </w:rPr>
        <w:t>Add generator and TTS adapters with deterministic fallbacks.</w:t>
      </w:r>
    </w:p>
    <w:p>
      <w:r>
        <w:t>After M3, integrate Jev behind the policy-ranking interface in opt-in shadow mode and measure latency, confidence, and disagreements before it can influence noncritical calls.</w:t>
      </w:r>
    </w:p>
    <w:p>
      <w:pPr>
        <w:numPr>
          <w:ilvl w:val="0"/>
          <w:numId w:val="11"/>
        </w:numPr>
      </w:pPr>
      <w:r>
        <w:rPr>
          <w:rFonts w:ascii="Calibri" w:hAnsi="Calibri"/>
        </w:rPr>
        <w:t>Collect decision-quality data before training the adaptive ranker.</w:t>
      </w:r>
    </w:p>
    <w:p>
      <w:pPr>
        <w:numPr>
          <w:ilvl w:val="0"/>
          <w:numId w:val="11"/>
        </w:numPr>
      </w:pPr>
      <w:r>
        <w:rPr>
          <w:rFonts w:ascii="Calibri" w:hAnsi="Calibri"/>
        </w:rPr>
        <w:t>Introduce the desktop UI only after the headless pipeline is stable.</w:t>
      </w:r>
    </w:p>
    <w:p>
      <w:pPr>
        <w:pStyle w:val="Heading1"/>
      </w:pPr>
      <w:r>
        <w:t>9. Non-functional requirements</w:t>
      </w:r>
    </w:p>
    <w:p>
      <w:pPr>
        <w:numPr>
          <w:ilvl w:val="0"/>
          <w:numId w:val="10"/>
        </w:numPr>
      </w:pPr>
      <w:r>
        <w:rPr>
          <w:rFonts w:ascii="Calibri" w:hAnsi="Calibri"/>
        </w:rPr>
        <w:t>Gaming-safe resource use: enforce configurable CPU, GPU, memory, queue, and generation limits.</w:t>
      </w:r>
    </w:p>
    <w:p>
      <w:pPr>
        <w:numPr>
          <w:ilvl w:val="0"/>
          <w:numId w:val="10"/>
        </w:numPr>
      </w:pPr>
      <w:r>
        <w:rPr>
          <w:rFonts w:ascii="Calibri" w:hAnsi="Calibri"/>
        </w:rPr>
        <w:t>Low-latency event path: process telemetry continuously but invoke language generation only after a SpeechIntent is approved.</w:t>
      </w:r>
    </w:p>
    <w:p>
      <w:pPr>
        <w:numPr>
          <w:ilvl w:val="0"/>
          <w:numId w:val="10"/>
        </w:numPr>
      </w:pPr>
      <w:r>
        <w:rPr>
          <w:rFonts w:ascii="Calibri" w:hAnsi="Calibri"/>
        </w:rPr>
        <w:t>Backpressure: drop expired low-priority work instead of allowing queues to grow during busy race periods.</w:t>
      </w:r>
    </w:p>
    <w:p>
      <w:pPr>
        <w:numPr>
          <w:ilvl w:val="0"/>
          <w:numId w:val="10"/>
        </w:numPr>
      </w:pPr>
      <w:r>
        <w:rPr>
          <w:rFonts w:ascii="Calibri" w:hAnsi="Calibri"/>
        </w:rPr>
        <w:t>Failure isolation: telemetry and critical rule-based calls continue when the generator, TTS engine, UI, or adaptive model fails.</w:t>
      </w:r>
    </w:p>
    <w:p>
      <w:pPr>
        <w:numPr>
          <w:ilvl w:val="0"/>
          <w:numId w:val="10"/>
        </w:numPr>
      </w:pPr>
      <w:r>
        <w:rPr>
          <w:rFonts w:ascii="Calibri" w:hAnsi="Calibri"/>
        </w:rPr>
        <w:t>Local-first privacy: profiles, telemetry logs, preferences, and learned data remain on the user's machine unless explicitly exported.</w:t>
      </w:r>
    </w:p>
    <w:p>
      <w:pPr>
        <w:numPr>
          <w:ilvl w:val="0"/>
          <w:numId w:val="10"/>
        </w:numPr>
      </w:pPr>
      <w:r>
        <w:rPr>
          <w:rFonts w:ascii="Calibri" w:hAnsi="Calibri"/>
        </w:rPr>
        <w:t>Deterministic replay: recorded sessions reproduce events and policy decisions for regression testing.</w:t>
      </w:r>
    </w:p>
    <w:p>
      <w:pPr>
        <w:numPr>
          <w:ilvl w:val="0"/>
          <w:numId w:val="10"/>
        </w:numPr>
      </w:pPr>
      <w:r>
        <w:rPr>
          <w:rFonts w:ascii="Calibri" w:hAnsi="Calibri"/>
        </w:rPr>
        <w:t>Observability: every spoken or suppressed candidate has a traceable reason without requiring verbose production logging.</w:t>
      </w:r>
    </w:p>
    <w:p>
      <w:pPr>
        <w:pStyle w:val="Heading1"/>
      </w:pPr>
      <w:r>
        <w:t>10. Testing strategy</w:t>
      </w:r>
    </w:p>
    <w:p>
      <w:r>
        <w:t>Unit tests cover normalization, event derivation, rules, ranking inputs, scheduler behavior, persistence, and output validation. Recorded telemetry fixtures drive integration tests without launching iRacing. End-to-end tests use fake generator and TTS adapters to remain deterministic. Real-model and real-audio tests are separate performance and quality suites.</w:t>
      </w:r>
    </w:p>
    <w:p>
      <w:pPr>
        <w:spacing w:before="100" w:after="180" w:line="288" w:lineRule="auto"/>
        <w:ind w:left="173" w:right="115"/>
        <w:shd w:fill="F4F6F9"/>
        <w:pBdr>
          <w:left w:val="single" w:sz="18" w:space="8" w:color="2E74B5"/>
        </w:pBdr>
      </w:pPr>
      <w:r>
        <w:rPr>
          <w:rFonts w:ascii="Calibri" w:hAnsi="Calibri"/>
          <w:b/>
          <w:color w:val="1F4D78"/>
        </w:rPr>
        <w:t xml:space="preserve">Primary acceptance test: </w:t>
      </w:r>
      <w:r>
        <w:rPr>
          <w:rFonts w:ascii="Calibri" w:hAnsi="Calibri"/>
          <w:color w:val="000000"/>
        </w:rPr>
        <w:t>Given a recorded race session and a fixed driver profile, the application must reproduce the same normalized events, policy decisions, and speech intents without contacting an external service.</w:t>
      </w:r>
    </w:p>
    <w:p>
      <w:pPr>
        <w:pStyle w:val="Heading1"/>
      </w:pPr>
      <w:r>
        <w:t>11. Open decisions</w:t>
      </w:r>
    </w:p>
    <w:p>
      <w:pPr>
        <w:numPr>
          <w:ilvl w:val="0"/>
          <w:numId w:val="10"/>
        </w:numPr>
      </w:pPr>
      <w:r>
        <w:rPr>
          <w:rFonts w:ascii="Calibri" w:hAnsi="Calibri"/>
        </w:rPr>
        <w:t>Initial language model and inference runtime.</w:t>
      </w:r>
    </w:p>
    <w:p>
      <w:pPr>
        <w:numPr>
          <w:ilvl w:val="0"/>
          <w:numId w:val="10"/>
        </w:numPr>
      </w:pPr>
      <w:r>
        <w:rPr>
          <w:rFonts w:ascii="Calibri" w:hAnsi="Calibri"/>
        </w:rPr>
        <w:t>Initial TTS engine and voice set.</w:t>
      </w:r>
    </w:p>
    <w:p>
      <w:pPr>
        <w:numPr>
          <w:ilvl w:val="0"/>
          <w:numId w:val="10"/>
        </w:numPr>
      </w:pPr>
      <w:r>
        <w:rPr>
          <w:rFonts w:ascii="Calibri" w:hAnsi="Calibri"/>
        </w:rPr>
        <w:t>Exact iRacing telemetry subset for M1.</w:t>
      </w:r>
    </w:p>
    <w:p>
      <w:pPr>
        <w:numPr>
          <w:ilvl w:val="0"/>
          <w:numId w:val="10"/>
        </w:numPr>
      </w:pPr>
      <w:r>
        <w:rPr>
          <w:rFonts w:ascii="Calibri" w:hAnsi="Calibri"/>
        </w:rPr>
        <w:t>Ranking-model features, feedback signals, and learning cadence.</w:t>
      </w:r>
    </w:p>
    <w:p>
      <w:r>
        <w:t>Whether Jev service access, privacy terms, latency, and decision quality justify promotion beyond shadow mode.</w:t>
      </w:r>
    </w:p>
    <w:p>
      <w:pPr>
        <w:numPr>
          <w:ilvl w:val="0"/>
          <w:numId w:val="10"/>
        </w:numPr>
      </w:pPr>
      <w:r>
        <w:rPr>
          <w:rFonts w:ascii="Calibri" w:hAnsi="Calibri"/>
        </w:rPr>
        <w:t>Whether adaptive inference runs in-process or in an isolated worker.</w:t>
      </w:r>
    </w:p>
    <w:p>
      <w:pPr>
        <w:numPr>
          <w:ilvl w:val="0"/>
          <w:numId w:val="10"/>
        </w:numPr>
      </w:pPr>
      <w:r>
        <w:rPr>
          <w:rFonts w:ascii="Calibri" w:hAnsi="Calibri"/>
        </w:rPr>
        <w:t>UI scope beyond system tray, settings, and debugging.</w:t>
      </w:r>
    </w:p>
    <w:p>
      <w:pPr>
        <w:numPr>
          <w:ilvl w:val="0"/>
          <w:numId w:val="10"/>
        </w:numPr>
      </w:pPr>
      <w:r>
        <w:rPr>
          <w:rFonts w:ascii="Calibri" w:hAnsi="Calibri"/>
        </w:rPr>
        <w:t>Project name and distribution/license strategy.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6666"/>
        <w:sz w:val="17"/>
      </w:rPr>
      <w:t xml:space="preserve">Page </w:t>
      <w:fldChar w:fldCharType="begin"/>
      <w:instrText xml:space="preserve"> PAGE </w:instrText>
      <w:fldChar w:fldCharType="separate"/>
      <w:t>1</w:t>
      <w:fldChar w:fldCharType="end"/>
    </w:r>
    <w:r>
      <w:rPr>
        <w:rFonts w:ascii="Calibri" w:hAnsi="Calibri"/>
        <w:color w:val="666666"/>
        <w:sz w:val="17"/>
      </w:rPr>
      <w:t xml:space="preserve"> of </w:t>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6666"/>
        <w:sz w:val="17"/>
      </w:rPr>
      <w:t>PERSONALIZED AI RACE ENGINEER</w:t>
    </w:r>
    <w:r>
      <w:rPr>
        <w:rFonts w:ascii="Calibri" w:hAnsi="Calibri"/>
        <w:color w:val="666666"/>
        <w:sz w:val="17"/>
      </w:rPr>
      <w:tab/>
      <w:t>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AI Race Engineer: Implementation Plan</dc:title>
  <dc:subject>Architecture and phased implementation plan</dc:subject>
  <dc:creator/>
  <cp:keywords>race engineer, iRacing, telemetry, policy engine, LLM, TTS, Python</cp:keywords>
  <dc:description>generated by python-docx</dc:description>
  <cp:lastModifiedBy/>
  <cp:revision>1</cp:revision>
  <dcterms:created xsi:type="dcterms:W3CDTF">2013-12-23T23:15:00Z</dcterms:created>
  <dcterms:modified xsi:type="dcterms:W3CDTF">2026-09-19T00:00:00Z</dcterms:modified>
  <cp:category/>
</cp:coreProperties>
</file>