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147320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11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Exchange student during 2015 Fall semester.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it-IT"/>
        </w:rPr>
        <w:t>OG, MIPS Assembly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7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