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DB5" w:sz="16"/>
              <w:bottom w:val="none"/>
              <w:right w:val="none"/>
            </w:tcBorders>
            <w:shd w:fill="1E3A5F" w:val="clear"/>
            <w:tcMar>
              <w:top w:type="dxa" w:w="400"/>
              <w:left w:type="dxa" w:w="480"/>
              <w:bottom w:type="dxa" w:w="400"/>
              <w:right w:type="dxa" w:w="480"/>
            </w:tcMar>
          </w:tcPr>
          <w:p>
            <w:pPr>
              <w:spacing w:after="120" w:before="0"/>
            </w:pPr>
            <w:r>
              <w:rPr>
                <w:rFonts w:ascii="Arial" w:cs="Arial" w:eastAsia="Arial" w:hAnsi="Arial"/>
                <w:b/>
                <w:bCs/>
                <w:color w:val="FFFFFF"/>
                <w:sz w:val="52"/>
                <w:szCs w:val="52"/>
              </w:rPr>
              <w:t xml:space="preserve">PROMPT PROCESSING</w:t>
            </w:r>
          </w:p>
          <w:p>
            <w:pPr>
              <w:spacing w:after="200" w:before="0"/>
            </w:pPr>
            <w:r>
              <w:rPr>
                <w:rFonts w:ascii="Arial" w:cs="Arial" w:eastAsia="Arial" w:hAnsi="Arial"/>
                <w:i/>
                <w:iCs/>
                <w:color w:val="A8C8E8"/>
                <w:sz w:val="32"/>
                <w:szCs w:val="32"/>
              </w:rPr>
              <w:t xml:space="preserve">End-to-End Prompt Flow &amp; Tokenisation</w:t>
            </w:r>
          </w:p>
          <w:p>
            <w:pPr>
              <w:spacing w:after="0" w:before="0"/>
            </w:pPr>
            <w:r>
              <w:rPr>
                <w:rFonts w:ascii="Arial" w:cs="Arial" w:eastAsia="Arial" w:hAnsi="Arial"/>
                <w:color w:val="A8C8E8"/>
                <w:sz w:val="22"/>
                <w:szCs w:val="22"/>
              </w:rPr>
              <w:t xml:space="preserve">A comprehensive technical deep-dive</w:t>
            </w:r>
          </w:p>
        </w:tc>
      </w:tr>
    </w:tbl>
    <w:p>
      <w:pPr>
        <w:spacing w:after="0" w:before="400"/>
      </w:pPr>
      <w:r>
        <w:t xml:space="preserve"/>
      </w:r>
    </w:p>
    <w:p>
      <w:pPr>
        <w:spacing w:after="80" w:before="200"/>
      </w:pPr>
      <w:r>
        <w:rPr>
          <w:rFonts w:ascii="Arial" w:cs="Arial" w:eastAsia="Arial" w:hAnsi="Arial"/>
          <w:b/>
          <w:bCs/>
          <w:color w:val="1E3A5F"/>
          <w:sz w:val="24"/>
          <w:szCs w:val="24"/>
        </w:rPr>
        <w:t xml:space="preserve">Topics Covered</w:t>
      </w:r>
    </w:p>
    <w:p>
      <w:pPr>
        <w:pStyle w:val="ListParagraph"/>
        <w:numPr>
          <w:ilvl w:val="0"/>
          <w:numId w:val="2"/>
        </w:numPr>
        <w:spacing w:after="60" w:before="40"/>
      </w:pPr>
      <w:r>
        <w:rPr>
          <w:rFonts w:ascii="Arial" w:cs="Arial" w:eastAsia="Arial" w:hAnsi="Arial"/>
          <w:color w:val="111111"/>
          <w:sz w:val="22"/>
          <w:szCs w:val="22"/>
        </w:rPr>
        <w:t xml:space="preserve">Unicode, byte-pair encoding, and the full tokenisation pipeline</w:t>
      </w:r>
    </w:p>
    <w:p>
      <w:pPr>
        <w:pStyle w:val="ListParagraph"/>
        <w:numPr>
          <w:ilvl w:val="0"/>
          <w:numId w:val="2"/>
        </w:numPr>
        <w:spacing w:after="60" w:before="40"/>
      </w:pPr>
      <w:r>
        <w:rPr>
          <w:rFonts w:ascii="Arial" w:cs="Arial" w:eastAsia="Arial" w:hAnsi="Arial"/>
          <w:color w:val="111111"/>
          <w:sz w:val="22"/>
          <w:szCs w:val="22"/>
        </w:rPr>
        <w:t xml:space="preserve">Vocabulary construction, special tokens, and encoding edge cases</w:t>
      </w:r>
    </w:p>
    <w:p>
      <w:pPr>
        <w:pStyle w:val="ListParagraph"/>
        <w:numPr>
          <w:ilvl w:val="0"/>
          <w:numId w:val="2"/>
        </w:numPr>
        <w:spacing w:after="60" w:before="40"/>
      </w:pPr>
      <w:r>
        <w:rPr>
          <w:rFonts w:ascii="Arial" w:cs="Arial" w:eastAsia="Arial" w:hAnsi="Arial"/>
          <w:color w:val="111111"/>
          <w:sz w:val="22"/>
          <w:szCs w:val="22"/>
        </w:rPr>
        <w:t xml:space="preserve">Prompt assembly: system prompts, conversation turns, and delimiters</w:t>
      </w:r>
    </w:p>
    <w:p>
      <w:pPr>
        <w:pStyle w:val="ListParagraph"/>
        <w:numPr>
          <w:ilvl w:val="0"/>
          <w:numId w:val="2"/>
        </w:numPr>
        <w:spacing w:after="60" w:before="40"/>
      </w:pPr>
      <w:r>
        <w:rPr>
          <w:rFonts w:ascii="Arial" w:cs="Arial" w:eastAsia="Arial" w:hAnsi="Arial"/>
          <w:color w:val="111111"/>
          <w:sz w:val="22"/>
          <w:szCs w:val="22"/>
        </w:rPr>
        <w:t xml:space="preserve">Context windows: KV cache mechanics and memory layout</w:t>
      </w:r>
    </w:p>
    <w:p>
      <w:pPr>
        <w:pStyle w:val="ListParagraph"/>
        <w:numPr>
          <w:ilvl w:val="0"/>
          <w:numId w:val="2"/>
        </w:numPr>
        <w:spacing w:after="60" w:before="40"/>
      </w:pPr>
      <w:r>
        <w:rPr>
          <w:rFonts w:ascii="Arial" w:cs="Arial" w:eastAsia="Arial" w:hAnsi="Arial"/>
          <w:color w:val="111111"/>
          <w:sz w:val="22"/>
          <w:szCs w:val="22"/>
        </w:rPr>
        <w:t xml:space="preserve">Attention masks, position encodings, and positional bias</w:t>
      </w:r>
    </w:p>
    <w:p>
      <w:pPr>
        <w:pStyle w:val="ListParagraph"/>
        <w:numPr>
          <w:ilvl w:val="0"/>
          <w:numId w:val="2"/>
        </w:numPr>
        <w:spacing w:after="60" w:before="40"/>
      </w:pPr>
      <w:r>
        <w:rPr>
          <w:rFonts w:ascii="Arial" w:cs="Arial" w:eastAsia="Arial" w:hAnsi="Arial"/>
          <w:color w:val="111111"/>
          <w:sz w:val="22"/>
          <w:szCs w:val="22"/>
        </w:rPr>
        <w:t xml:space="preserve">Pre-fill (prompt processing) vs. auto-regressive decoding</w:t>
      </w:r>
    </w:p>
    <w:p>
      <w:pPr>
        <w:pStyle w:val="ListParagraph"/>
        <w:numPr>
          <w:ilvl w:val="0"/>
          <w:numId w:val="2"/>
        </w:numPr>
        <w:spacing w:after="60" w:before="40"/>
      </w:pPr>
      <w:r>
        <w:rPr>
          <w:rFonts w:ascii="Arial" w:cs="Arial" w:eastAsia="Arial" w:hAnsi="Arial"/>
          <w:color w:val="111111"/>
          <w:sz w:val="22"/>
          <w:szCs w:val="22"/>
        </w:rPr>
        <w:t xml:space="preserve">Sampling strategies: temperature, top-k, top-p, and beam search</w:t>
      </w:r>
    </w:p>
    <w:p>
      <w:pPr>
        <w:pStyle w:val="ListParagraph"/>
        <w:numPr>
          <w:ilvl w:val="0"/>
          <w:numId w:val="2"/>
        </w:numPr>
        <w:spacing w:after="60" w:before="40"/>
      </w:pPr>
      <w:r>
        <w:rPr>
          <w:rFonts w:ascii="Arial" w:cs="Arial" w:eastAsia="Arial" w:hAnsi="Arial"/>
          <w:color w:val="111111"/>
          <w:sz w:val="22"/>
          <w:szCs w:val="22"/>
        </w:rPr>
        <w:t xml:space="preserve">Batching, padding, and throughput optimisation</w:t>
      </w:r>
    </w:p>
    <w:p>
      <w:pPr>
        <w:pStyle w:val="ListParagraph"/>
        <w:numPr>
          <w:ilvl w:val="0"/>
          <w:numId w:val="2"/>
        </w:numPr>
        <w:spacing w:after="60" w:before="40"/>
      </w:pPr>
      <w:r>
        <w:rPr>
          <w:rFonts w:ascii="Arial" w:cs="Arial" w:eastAsia="Arial" w:hAnsi="Arial"/>
          <w:color w:val="111111"/>
          <w:sz w:val="22"/>
          <w:szCs w:val="22"/>
        </w:rPr>
        <w:t xml:space="preserve">Tool use, multi-modal inputs, and structured generation</w:t>
      </w:r>
    </w:p>
    <w:p>
      <w:pPr>
        <w:pStyle w:val="ListParagraph"/>
        <w:numPr>
          <w:ilvl w:val="0"/>
          <w:numId w:val="2"/>
        </w:numPr>
        <w:spacing w:after="60" w:before="40"/>
      </w:pPr>
      <w:r>
        <w:rPr>
          <w:rFonts w:ascii="Arial" w:cs="Arial" w:eastAsia="Arial" w:hAnsi="Arial"/>
          <w:color w:val="111111"/>
          <w:sz w:val="22"/>
          <w:szCs w:val="22"/>
        </w:rPr>
        <w:t xml:space="preserve">Detokenisation, post-processing, and output formatting</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1. What Is a Token? — The Fundamental Unit</w:t>
      </w:r>
    </w:p>
    <w:p>
      <w:pPr>
        <w:spacing w:after="100" w:before="60"/>
        <w:jc w:val="left"/>
      </w:pPr>
      <w:r>
        <w:rPr>
          <w:rFonts w:ascii="Arial" w:cs="Arial" w:eastAsia="Arial" w:hAnsi="Arial"/>
          <w:b w:val="false"/>
          <w:bCs w:val="false"/>
          <w:i w:val="false"/>
          <w:iCs w:val="false"/>
          <w:color w:val="111111"/>
          <w:sz w:val="22"/>
          <w:szCs w:val="22"/>
        </w:rPr>
        <w:t xml:space="preserve">Before any neural network can process a sentence, every character, word, or sub-word must be converted into an integer — an index into a fixed vocabulary. That integer is a token. Understanding why tokens exist as they do, and how they are produced, is the foundation of everything that follows.</w:t>
      </w:r>
    </w:p>
    <w:p>
      <w:pPr>
        <w:pStyle w:val="Heading2"/>
        <w:pBdr>
          <w:bottom w:val="single" w:color="A8C8E8" w:sz="2"/>
        </w:pBdr>
        <w:spacing w:after="100" w:before="280"/>
      </w:pPr>
      <w:r>
        <w:rPr>
          <w:rFonts w:ascii="Arial" w:cs="Arial" w:eastAsia="Arial" w:hAnsi="Arial"/>
          <w:b/>
          <w:bCs/>
          <w:color w:val="1E3A5F"/>
          <w:sz w:val="28"/>
          <w:szCs w:val="28"/>
        </w:rPr>
        <w:t xml:space="preserve">1.1  Why Not Characters or Words?</w:t>
      </w:r>
    </w:p>
    <w:p>
      <w:pPr>
        <w:spacing w:after="100" w:before="60"/>
        <w:jc w:val="left"/>
      </w:pPr>
      <w:r>
        <w:rPr>
          <w:rFonts w:ascii="Arial" w:cs="Arial" w:eastAsia="Arial" w:hAnsi="Arial"/>
          <w:b w:val="false"/>
          <w:bCs w:val="false"/>
          <w:i w:val="false"/>
          <w:iCs w:val="false"/>
          <w:color w:val="111111"/>
          <w:sz w:val="22"/>
          <w:szCs w:val="22"/>
        </w:rPr>
        <w:t xml:space="preserve">Two obvious alternatives exist: character-level models and word-level models. Character models keep vocabularies tiny (roughly 100–300 symbols for Unicode), but they require sequences hundreds of times longer than word models for equivalent text. This dramatically increases the quadratic cost of self-attention. Word models keep sequences short, but their vocabularies can swell to hundreds of thousands of entries, most of which appear extremely rarely, causing poor generalisation and enormous embedding tables.</w:t>
      </w:r>
    </w:p>
    <w:p>
      <w:pPr>
        <w:spacing w:after="100" w:before="60"/>
        <w:jc w:val="left"/>
      </w:pPr>
      <w:r>
        <w:rPr>
          <w:rFonts w:ascii="Arial" w:cs="Arial" w:eastAsia="Arial" w:hAnsi="Arial"/>
          <w:b w:val="false"/>
          <w:bCs w:val="false"/>
          <w:i w:val="false"/>
          <w:iCs w:val="false"/>
          <w:color w:val="111111"/>
          <w:sz w:val="22"/>
          <w:szCs w:val="22"/>
        </w:rPr>
        <w:t xml:space="preserve">Sub-word tokenisation is the practical middle ground. A vocabulary of 32,000–100,000 carefully chosen pieces covers most natural-language text compactly while keeping sequences manageable. Common words like "the" become single tokens; rare words like "antidisestablishmentarianism" split into recognisable morphemes; digits, punctuation, and non-Latin scripts each receive appropriate coverage.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1A6E3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KEY CONCEPT</w:t>
            </w:r>
          </w:p>
        </w:tc>
        <w:tc>
          <w:tcPr>
            <w:tcW w:type="dxa" w:w="9080"/>
            <w:tcBorders>
              <w:top w:val="none"/>
              <w:left w:val="single" w:color="1A6E3E" w:sz="3"/>
              <w:bottom w:val="none"/>
              <w:right w:val="none"/>
            </w:tcBorders>
            <w:shd w:fill="D4EDDA"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The compression ratio — the ratio of Unicode characters to tokens — for well-written English is roughly 3.5–4.5 characters per token. Code, JSON, and some non-Latin scripts can push that ratio below 2, making them significantly more expensive in context budget terms.</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1.2  Unicode and Byte-Level Pre-Processing</w:t>
      </w:r>
    </w:p>
    <w:p>
      <w:pPr>
        <w:spacing w:after="100" w:before="60"/>
        <w:jc w:val="left"/>
      </w:pPr>
      <w:r>
        <w:rPr>
          <w:rFonts w:ascii="Arial" w:cs="Arial" w:eastAsia="Arial" w:hAnsi="Arial"/>
          <w:b w:val="false"/>
          <w:bCs w:val="false"/>
          <w:i w:val="false"/>
          <w:iCs w:val="false"/>
          <w:color w:val="111111"/>
          <w:sz w:val="22"/>
          <w:szCs w:val="22"/>
        </w:rPr>
        <w:t xml:space="preserve">Modern LLM tokenisers operate on UTF-8 bytes. Every input string first undergoes Unicode normalisation (typically NFC or NFKC) to canonicalise composed vs. decomposed character forms and remove confusable duplicates. After normalisation, the string is encoded to a sequence of raw bytes (0–255).</w:t>
      </w:r>
    </w:p>
    <w:p>
      <w:pPr>
        <w:spacing w:after="100" w:before="60"/>
        <w:jc w:val="left"/>
      </w:pPr>
      <w:r>
        <w:rPr>
          <w:rFonts w:ascii="Arial" w:cs="Arial" w:eastAsia="Arial" w:hAnsi="Arial"/>
          <w:b w:val="false"/>
          <w:bCs w:val="false"/>
          <w:i w:val="false"/>
          <w:iCs w:val="false"/>
          <w:color w:val="111111"/>
          <w:sz w:val="22"/>
          <w:szCs w:val="22"/>
        </w:rPr>
        <w:t xml:space="preserve">Operating at the byte level rather than the character level gives total coverage: even emojis, mathematical symbols, rare CJK extension characters, and malformed sequences can always be represented as byte tokens. Vocabularies include explicit tokens for all 256 byte values as a fallback, guaranteeing lossless round-trip encoding and decoding of any input.</w:t>
      </w:r>
    </w:p>
    <w:p>
      <w:pPr>
        <w:pStyle w:val="Heading2"/>
        <w:pBdr>
          <w:bottom w:val="single" w:color="A8C8E8" w:sz="2"/>
        </w:pBdr>
        <w:spacing w:after="100" w:before="280"/>
      </w:pPr>
      <w:r>
        <w:rPr>
          <w:rFonts w:ascii="Arial" w:cs="Arial" w:eastAsia="Arial" w:hAnsi="Arial"/>
          <w:b/>
          <w:bCs/>
          <w:color w:val="1E3A5F"/>
          <w:sz w:val="28"/>
          <w:szCs w:val="28"/>
        </w:rPr>
        <w:t xml:space="preserve">1.3  Byte-Pair Encoding (BPE) — The Core Algorithm</w:t>
      </w:r>
    </w:p>
    <w:p>
      <w:pPr>
        <w:spacing w:after="100" w:before="60"/>
        <w:jc w:val="left"/>
      </w:pPr>
      <w:r>
        <w:rPr>
          <w:rFonts w:ascii="Arial" w:cs="Arial" w:eastAsia="Arial" w:hAnsi="Arial"/>
          <w:b w:val="false"/>
          <w:bCs w:val="false"/>
          <w:i w:val="false"/>
          <w:iCs w:val="false"/>
          <w:color w:val="111111"/>
          <w:sz w:val="22"/>
          <w:szCs w:val="22"/>
        </w:rPr>
        <w:t xml:space="preserve">GPT-style tokenisers (including those used by most instruction-tuned transformer LLMs) are built with Byte-Pair Encoding. The algorithm has two phases: training and encoding.</w:t>
      </w:r>
    </w:p>
    <w:p>
      <w:pPr>
        <w:pStyle w:val="Heading3"/>
        <w:spacing w:after="80" w:before="200"/>
      </w:pPr>
      <w:r>
        <w:rPr>
          <w:rFonts w:ascii="Arial" w:cs="Arial" w:eastAsia="Arial" w:hAnsi="Arial"/>
          <w:b/>
          <w:bCs/>
          <w:color w:val="1A7A8A"/>
          <w:sz w:val="24"/>
          <w:szCs w:val="24"/>
        </w:rPr>
        <w:t xml:space="preserve">Training Phase</w:t>
      </w:r>
    </w:p>
    <w:p>
      <w:pPr>
        <w:spacing w:after="100" w:before="60"/>
        <w:jc w:val="left"/>
      </w:pPr>
      <w:r>
        <w:rPr>
          <w:rFonts w:ascii="Arial" w:cs="Arial" w:eastAsia="Arial" w:hAnsi="Arial"/>
          <w:b w:val="false"/>
          <w:bCs w:val="false"/>
          <w:i w:val="false"/>
          <w:iCs w:val="false"/>
          <w:color w:val="111111"/>
          <w:sz w:val="22"/>
          <w:szCs w:val="22"/>
        </w:rPr>
        <w:t xml:space="preserve">Given a large training corpus, BPE begins with a vocabulary containing every unique byte (256 entries). It then repeatedly:</w:t>
      </w:r>
    </w:p>
    <w:p>
      <w:pPr>
        <w:pStyle w:val="ListParagraph"/>
        <w:numPr>
          <w:ilvl w:val="0"/>
          <w:numId w:val="2"/>
        </w:numPr>
        <w:spacing w:after="60" w:before="40"/>
      </w:pPr>
      <w:r>
        <w:rPr>
          <w:rFonts w:ascii="Arial" w:cs="Arial" w:eastAsia="Arial" w:hAnsi="Arial"/>
          <w:color w:val="111111"/>
          <w:sz w:val="22"/>
          <w:szCs w:val="22"/>
        </w:rPr>
        <w:t xml:space="preserve">Counts all adjacent symbol pairs in the entire corpus.</w:t>
      </w:r>
    </w:p>
    <w:p>
      <w:pPr>
        <w:pStyle w:val="ListParagraph"/>
        <w:numPr>
          <w:ilvl w:val="0"/>
          <w:numId w:val="2"/>
        </w:numPr>
        <w:spacing w:after="60" w:before="40"/>
      </w:pPr>
      <w:r>
        <w:rPr>
          <w:rFonts w:ascii="Arial" w:cs="Arial" w:eastAsia="Arial" w:hAnsi="Arial"/>
          <w:color w:val="111111"/>
          <w:sz w:val="22"/>
          <w:szCs w:val="22"/>
        </w:rPr>
        <w:t xml:space="preserve">Identifies the most frequent pair, e.g. (e, r).</w:t>
      </w:r>
    </w:p>
    <w:p>
      <w:pPr>
        <w:pStyle w:val="ListParagraph"/>
        <w:numPr>
          <w:ilvl w:val="0"/>
          <w:numId w:val="2"/>
        </w:numPr>
        <w:spacing w:after="60" w:before="40"/>
      </w:pPr>
      <w:r>
        <w:rPr>
          <w:rFonts w:ascii="Arial" w:cs="Arial" w:eastAsia="Arial" w:hAnsi="Arial"/>
          <w:color w:val="111111"/>
          <w:sz w:val="22"/>
          <w:szCs w:val="22"/>
        </w:rPr>
        <w:t xml:space="preserve">Merges that pair into a new symbol er and adds it to the vocabulary.</w:t>
      </w:r>
    </w:p>
    <w:p>
      <w:pPr>
        <w:pStyle w:val="ListParagraph"/>
        <w:numPr>
          <w:ilvl w:val="0"/>
          <w:numId w:val="2"/>
        </w:numPr>
        <w:spacing w:after="60" w:before="40"/>
      </w:pPr>
      <w:r>
        <w:rPr>
          <w:rFonts w:ascii="Arial" w:cs="Arial" w:eastAsia="Arial" w:hAnsi="Arial"/>
          <w:color w:val="111111"/>
          <w:sz w:val="22"/>
          <w:szCs w:val="22"/>
        </w:rPr>
        <w:t xml:space="preserve">Replaces all occurrences of the pair in the corpus with the merged symbol.</w:t>
      </w:r>
    </w:p>
    <w:p>
      <w:pPr>
        <w:pStyle w:val="ListParagraph"/>
        <w:numPr>
          <w:ilvl w:val="0"/>
          <w:numId w:val="2"/>
        </w:numPr>
        <w:spacing w:after="60" w:before="40"/>
      </w:pPr>
      <w:r>
        <w:rPr>
          <w:rFonts w:ascii="Arial" w:cs="Arial" w:eastAsia="Arial" w:hAnsi="Arial"/>
          <w:color w:val="111111"/>
          <w:sz w:val="22"/>
          <w:szCs w:val="22"/>
        </w:rPr>
        <w:t xml:space="preserve">Repeats until the vocabulary reaches a target size (e.g. 50,257 for GPT-2, 100,256 for cl100k).</w:t>
      </w:r>
    </w:p>
    <w:p>
      <w:pPr>
        <w:spacing w:after="100" w:before="60"/>
        <w:jc w:val="left"/>
      </w:pPr>
      <w:r>
        <w:rPr>
          <w:rFonts w:ascii="Arial" w:cs="Arial" w:eastAsia="Arial" w:hAnsi="Arial"/>
          <w:b w:val="false"/>
          <w:bCs w:val="false"/>
          <w:i w:val="false"/>
          <w:iCs w:val="false"/>
          <w:color w:val="111111"/>
          <w:sz w:val="22"/>
          <w:szCs w:val="22"/>
        </w:rPr>
        <w:t xml:space="preserve">The result is a deterministic merge table — an ordered list of merge rules. The rules encode the statistical structure of the training corpus. Frequent sub-strings become single high-frequency tokens; rarer ones stay as sequences of smaller pieces.</w:t>
      </w:r>
    </w:p>
    <w:p>
      <w:pPr>
        <w:pStyle w:val="Heading3"/>
        <w:spacing w:after="80" w:before="200"/>
      </w:pPr>
      <w:r>
        <w:rPr>
          <w:rFonts w:ascii="Arial" w:cs="Arial" w:eastAsia="Arial" w:hAnsi="Arial"/>
          <w:b/>
          <w:bCs/>
          <w:color w:val="1A7A8A"/>
          <w:sz w:val="24"/>
          <w:szCs w:val="24"/>
        </w:rPr>
        <w:t xml:space="preserve">Encoding Phase (Inference)</w:t>
      </w:r>
    </w:p>
    <w:p>
      <w:pPr>
        <w:spacing w:after="100" w:before="60"/>
        <w:jc w:val="left"/>
      </w:pPr>
      <w:r>
        <w:rPr>
          <w:rFonts w:ascii="Arial" w:cs="Arial" w:eastAsia="Arial" w:hAnsi="Arial"/>
          <w:b w:val="false"/>
          <w:bCs w:val="false"/>
          <w:i w:val="false"/>
          <w:iCs w:val="false"/>
          <w:color w:val="111111"/>
          <w:sz w:val="22"/>
          <w:szCs w:val="22"/>
        </w:rPr>
        <w:t xml:space="preserve">At inference time, new text is encoded by:</w:t>
      </w:r>
    </w:p>
    <w:p>
      <w:pPr>
        <w:pStyle w:val="ListParagraph"/>
        <w:numPr>
          <w:ilvl w:val="0"/>
          <w:numId w:val="2"/>
        </w:numPr>
        <w:spacing w:after="60" w:before="40"/>
      </w:pPr>
      <w:r>
        <w:rPr>
          <w:rFonts w:ascii="Arial" w:cs="Arial" w:eastAsia="Arial" w:hAnsi="Arial"/>
          <w:color w:val="111111"/>
          <w:sz w:val="22"/>
          <w:szCs w:val="22"/>
        </w:rPr>
        <w:t xml:space="preserve">Converting the string to UTF-8 bytes.</w:t>
      </w:r>
    </w:p>
    <w:p>
      <w:pPr>
        <w:pStyle w:val="ListParagraph"/>
        <w:numPr>
          <w:ilvl w:val="0"/>
          <w:numId w:val="2"/>
        </w:numPr>
        <w:spacing w:after="60" w:before="40"/>
      </w:pPr>
      <w:r>
        <w:rPr>
          <w:rFonts w:ascii="Arial" w:cs="Arial" w:eastAsia="Arial" w:hAnsi="Arial"/>
          <w:color w:val="111111"/>
          <w:sz w:val="22"/>
          <w:szCs w:val="22"/>
        </w:rPr>
        <w:t xml:space="preserve">Applying any pre-tokenisation rules (e.g. splitting on whitespace, punctuation, or regex patterns defined in the tokeniser config).</w:t>
      </w:r>
    </w:p>
    <w:p>
      <w:pPr>
        <w:pStyle w:val="ListParagraph"/>
        <w:numPr>
          <w:ilvl w:val="0"/>
          <w:numId w:val="2"/>
        </w:numPr>
        <w:spacing w:after="60" w:before="40"/>
      </w:pPr>
      <w:r>
        <w:rPr>
          <w:rFonts w:ascii="Arial" w:cs="Arial" w:eastAsia="Arial" w:hAnsi="Arial"/>
          <w:color w:val="111111"/>
          <w:sz w:val="22"/>
          <w:szCs w:val="22"/>
        </w:rPr>
        <w:t xml:space="preserve">Treating each byte in each pre-token chunk as an initial symbol.</w:t>
      </w:r>
    </w:p>
    <w:p>
      <w:pPr>
        <w:pStyle w:val="ListParagraph"/>
        <w:numPr>
          <w:ilvl w:val="0"/>
          <w:numId w:val="2"/>
        </w:numPr>
        <w:spacing w:after="60" w:before="40"/>
      </w:pPr>
      <w:r>
        <w:rPr>
          <w:rFonts w:ascii="Arial" w:cs="Arial" w:eastAsia="Arial" w:hAnsi="Arial"/>
          <w:color w:val="111111"/>
          <w:sz w:val="22"/>
          <w:szCs w:val="22"/>
        </w:rPr>
        <w:t xml:space="preserve">Scanning the merge table in order and applying every rule whose pair appears in the current symbol sequence.</w:t>
      </w:r>
    </w:p>
    <w:p>
      <w:pPr>
        <w:pStyle w:val="ListParagraph"/>
        <w:numPr>
          <w:ilvl w:val="0"/>
          <w:numId w:val="2"/>
        </w:numPr>
        <w:spacing w:after="60" w:before="40"/>
      </w:pPr>
      <w:r>
        <w:rPr>
          <w:rFonts w:ascii="Arial" w:cs="Arial" w:eastAsia="Arial" w:hAnsi="Arial"/>
          <w:color w:val="111111"/>
          <w:sz w:val="22"/>
          <w:szCs w:val="22"/>
        </w:rPr>
        <w:t xml:space="preserve">Mapping each resulting symbol to its integer ID via the vocabulary dictionary.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C05A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IMPORTANT</w:t>
            </w:r>
          </w:p>
        </w:tc>
        <w:tc>
          <w:tcPr>
            <w:tcW w:type="dxa" w:w="9080"/>
            <w:tcBorders>
              <w:top w:val="none"/>
              <w:left w:val="single" w:color="C05A00" w:sz="3"/>
              <w:bottom w:val="none"/>
              <w:right w:val="none"/>
            </w:tcBorders>
            <w:shd w:fill="FDEBD0"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The pre-tokenisation regex is often overlooked but critically important. GPT-4's cl100k_base tokeniser uses a regex that prevents merges across word boundaries, contraction apostrophes, and whitespace. This means "token" and " token" (with a leading space) are always different tokens. This design intentionally encodes the concept of word-initial position.</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1.4  SentencePiece and Unigram Tokenisation</w:t>
      </w:r>
    </w:p>
    <w:p>
      <w:pPr>
        <w:spacing w:after="100" w:before="60"/>
        <w:jc w:val="left"/>
      </w:pPr>
      <w:r>
        <w:rPr>
          <w:rFonts w:ascii="Arial" w:cs="Arial" w:eastAsia="Arial" w:hAnsi="Arial"/>
          <w:b w:val="false"/>
          <w:bCs w:val="false"/>
          <w:i w:val="false"/>
          <w:iCs w:val="false"/>
          <w:color w:val="111111"/>
          <w:sz w:val="22"/>
          <w:szCs w:val="22"/>
        </w:rPr>
        <w:t xml:space="preserve">LLaMA-family and many multilingual models use SentencePiece, which supports both BPE and an alternative Unigram Language Model algorithm. Unlike BPE, Unigram starts with a large vocabulary and iteratively prunes the pieces whose removal decreases the training corpus log-likelihood the least. This produces a probabilistic tokeniser where the same string can in principle be tokenised in multiple ways; the Viterbi algorithm selects the segmentation with the highest probability.</w:t>
      </w:r>
    </w:p>
    <w:p>
      <w:pPr>
        <w:spacing w:after="100" w:before="60"/>
        <w:jc w:val="left"/>
      </w:pPr>
      <w:r>
        <w:rPr>
          <w:rFonts w:ascii="Arial" w:cs="Arial" w:eastAsia="Arial" w:hAnsi="Arial"/>
          <w:b w:val="false"/>
          <w:bCs w:val="false"/>
          <w:i w:val="false"/>
          <w:iCs w:val="false"/>
          <w:color w:val="111111"/>
          <w:sz w:val="22"/>
          <w:szCs w:val="22"/>
        </w:rPr>
        <w:t xml:space="preserve">A key difference from BPE is that SentencePiece treats the raw text as a stream of Unicode code points, not bytes, and uses a special whitespace meta-symbol (▁) to mark word boundaries inside tokens rather than splitting on whitespace. This means whitespace is embedded within tokens rather than being a separate pre-tokenisation step.</w:t>
      </w:r>
    </w:p>
    <w:p>
      <w:pPr>
        <w:pStyle w:val="Heading2"/>
        <w:pBdr>
          <w:bottom w:val="single" w:color="A8C8E8" w:sz="2"/>
        </w:pBdr>
        <w:spacing w:after="100" w:before="280"/>
      </w:pPr>
      <w:r>
        <w:rPr>
          <w:rFonts w:ascii="Arial" w:cs="Arial" w:eastAsia="Arial" w:hAnsi="Arial"/>
          <w:b/>
          <w:bCs/>
          <w:color w:val="1E3A5F"/>
          <w:sz w:val="28"/>
          <w:szCs w:val="28"/>
        </w:rPr>
        <w:t xml:space="preserve">1.5  Special Tokens</w:t>
      </w:r>
    </w:p>
    <w:p>
      <w:pPr>
        <w:spacing w:after="100" w:before="60"/>
        <w:jc w:val="left"/>
      </w:pPr>
      <w:r>
        <w:rPr>
          <w:rFonts w:ascii="Arial" w:cs="Arial" w:eastAsia="Arial" w:hAnsi="Arial"/>
          <w:b w:val="false"/>
          <w:bCs w:val="false"/>
          <w:i w:val="false"/>
          <w:iCs w:val="false"/>
          <w:color w:val="111111"/>
          <w:sz w:val="22"/>
          <w:szCs w:val="22"/>
        </w:rPr>
        <w:t xml:space="preserve">Every tokeniser reserves a set of non-text tokens for structural purposes. These typically include: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Common ID / Name</w:t>
            </w:r>
          </w:p>
        </w:tc>
        <w:tc>
          <w:tcPr>
            <w:tcW w:type="dxa" w:w="436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&lt;|endoftext|&gt;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50256 (GPT-2)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End-of-sequence / document separator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&lt;|im_start|&gt;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cl100k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ChatML: begins a conversation turn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&lt;|im_end|&gt;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cl100k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ChatML: ends a conversation turn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&lt;s&gt;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SentencePiece BOS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Beginning-of-sequence in LLaMA models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&lt;/s&gt;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SentencePiece EOS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End-of-sequence in LLaMA models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[PAD]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BERT / most encoders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Padding to align batch sequences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Masked token prediction in pre-training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&lt;|tool_call|&gt;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Custom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Marks start of a tool invocation in function-calling formats</w:t>
            </w:r>
          </w:p>
        </w:tc>
      </w:tr>
    </w:tbl>
    <w:p>
      <w:pPr>
        <w:spacing w:after="8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Special tokens are injected by the tokenisation wrapper, not by the base BPE/Unigram model. They occupy IDs in the vocabulary but their bytes are never processed by the merge rules. Attempting to encode the string "&lt;|endoftext|&gt;" as if it were regular text would tokenise it differently from injecting the genuine special token.</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2. Prompt Assembly — Structuring the Input</w:t>
      </w:r>
    </w:p>
    <w:p>
      <w:pPr>
        <w:spacing w:after="100" w:before="60"/>
        <w:jc w:val="left"/>
      </w:pPr>
      <w:r>
        <w:rPr>
          <w:rFonts w:ascii="Arial" w:cs="Arial" w:eastAsia="Arial" w:hAnsi="Arial"/>
          <w:b w:val="false"/>
          <w:bCs w:val="false"/>
          <w:i w:val="false"/>
          <w:iCs w:val="false"/>
          <w:color w:val="111111"/>
          <w:sz w:val="22"/>
          <w:szCs w:val="22"/>
        </w:rPr>
        <w:t xml:space="preserve">The raw tokens produced by the tokeniser are not immediately fed to the model. They must first be assembled into a structured prompt according to the format the model was trained on. This assembly phase is where system instructions, conversation history, and the current user message are concatenated into a single linear token sequence.</w:t>
      </w:r>
    </w:p>
    <w:p>
      <w:pPr>
        <w:pStyle w:val="Heading2"/>
        <w:pBdr>
          <w:bottom w:val="single" w:color="A8C8E8" w:sz="2"/>
        </w:pBdr>
        <w:spacing w:after="100" w:before="280"/>
      </w:pPr>
      <w:r>
        <w:rPr>
          <w:rFonts w:ascii="Arial" w:cs="Arial" w:eastAsia="Arial" w:hAnsi="Arial"/>
          <w:b/>
          <w:bCs/>
          <w:color w:val="1E3A5F"/>
          <w:sz w:val="28"/>
          <w:szCs w:val="28"/>
        </w:rPr>
        <w:t xml:space="preserve">2.1  The ChatML Format</w:t>
      </w:r>
    </w:p>
    <w:p>
      <w:pPr>
        <w:spacing w:after="100" w:before="60"/>
        <w:jc w:val="left"/>
      </w:pPr>
      <w:r>
        <w:rPr>
          <w:rFonts w:ascii="Arial" w:cs="Arial" w:eastAsia="Arial" w:hAnsi="Arial"/>
          <w:b w:val="false"/>
          <w:bCs w:val="false"/>
          <w:i w:val="false"/>
          <w:iCs w:val="false"/>
          <w:color w:val="111111"/>
          <w:sz w:val="22"/>
          <w:szCs w:val="22"/>
        </w:rPr>
        <w:t xml:space="preserve">OpenAI introduced the ChatML (Chat Markup Language) format, which most instruction-tuned models now use in some form. Each conversational turn is wrapped in delimiter tokens: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5A647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EXAMPLE</w:t>
            </w:r>
          </w:p>
        </w:tc>
        <w:tc>
          <w:tcPr>
            <w:tcW w:type="dxa" w:w="9080"/>
            <w:tcBorders>
              <w:top w:val="none"/>
              <w:left w:val="single" w:color="5A6470" w:sz="3"/>
              <w:bottom w:val="none"/>
              <w:right w:val="none"/>
            </w:tcBorders>
            <w:shd w:fill="F4F6F8"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&lt;|im_start|&gt;system
You are a helpful assistant.
&lt;|im_end|&gt;
&lt;|im_start|&gt;user
What is 2+2?
&lt;|im_end|&gt;
&lt;|im_start|&gt;assistant
</w:t>
            </w:r>
          </w:p>
        </w:tc>
      </w:tr>
    </w:tbl>
    <w:p>
      <w:pPr>
        <w:spacing w:after="8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model is trained to predict the assistant's response given this exact sequence. The opening &lt;|im_start|&gt;assistant
 with no closing &lt;|im_end|&gt; signals to the model that generation should begin. The model learns during fine-tuning to produce relevant, role-appropriate completions that follow this structure.</w:t>
      </w:r>
    </w:p>
    <w:p>
      <w:pPr>
        <w:spacing w:after="100" w:before="60"/>
        <w:jc w:val="left"/>
      </w:pPr>
      <w:r>
        <w:rPr>
          <w:rFonts w:ascii="Arial" w:cs="Arial" w:eastAsia="Arial" w:hAnsi="Arial"/>
          <w:b w:val="false"/>
          <w:bCs w:val="false"/>
          <w:i w:val="false"/>
          <w:iCs w:val="false"/>
          <w:color w:val="111111"/>
          <w:sz w:val="22"/>
          <w:szCs w:val="22"/>
        </w:rPr>
        <w:t xml:space="preserve">Different models use different delimiter conventions. Anthropic's Claude uses a format with &lt;|HUMAN_TURN|&gt; and &lt;|ASSISTANT_TURN|&gt; boundaries in earlier versions, while Llama 3 uses [INST] / [/INST] tags within &lt;&lt;SYS&gt;&gt; blocks, and Mistral models use similar instruction tags. The key principle is identical across all: clear, trainable structural markers that tell the model whose voice each segment represents.</w:t>
      </w:r>
    </w:p>
    <w:p>
      <w:pPr>
        <w:pStyle w:val="Heading2"/>
        <w:pBdr>
          <w:bottom w:val="single" w:color="A8C8E8" w:sz="2"/>
        </w:pBdr>
        <w:spacing w:after="100" w:before="280"/>
      </w:pPr>
      <w:r>
        <w:rPr>
          <w:rFonts w:ascii="Arial" w:cs="Arial" w:eastAsia="Arial" w:hAnsi="Arial"/>
          <w:b/>
          <w:bCs/>
          <w:color w:val="1E3A5F"/>
          <w:sz w:val="28"/>
          <w:szCs w:val="28"/>
        </w:rPr>
        <w:t xml:space="preserve">2.2  The System Prompt</w:t>
      </w:r>
    </w:p>
    <w:p>
      <w:pPr>
        <w:spacing w:after="100" w:before="60"/>
        <w:jc w:val="left"/>
      </w:pPr>
      <w:r>
        <w:rPr>
          <w:rFonts w:ascii="Arial" w:cs="Arial" w:eastAsia="Arial" w:hAnsi="Arial"/>
          <w:b w:val="false"/>
          <w:bCs w:val="false"/>
          <w:i w:val="false"/>
          <w:iCs w:val="false"/>
          <w:color w:val="111111"/>
          <w:sz w:val="22"/>
          <w:szCs w:val="22"/>
        </w:rPr>
        <w:t xml:space="preserve">The system prompt is a privileged block that precedes the conversation. It is used to establish the model's persona, constraints, capabilities, and any task-specific context. Because the system prompt occupies the beginning of the context and is processed first, its activations influence all subsequent tokens through attention.</w:t>
      </w:r>
    </w:p>
    <w:p>
      <w:pPr>
        <w:spacing w:after="100" w:before="60"/>
        <w:jc w:val="left"/>
      </w:pPr>
      <w:r>
        <w:rPr>
          <w:rFonts w:ascii="Arial" w:cs="Arial" w:eastAsia="Arial" w:hAnsi="Arial"/>
          <w:b w:val="false"/>
          <w:bCs w:val="false"/>
          <w:i w:val="false"/>
          <w:iCs w:val="false"/>
          <w:color w:val="111111"/>
          <w:sz w:val="22"/>
          <w:szCs w:val="22"/>
        </w:rPr>
        <w:t xml:space="preserve">System prompts are not inherently more "trusted" than user input at the architectural level — both are just tokens. The differentiation comes from fine-tuning: the model is trained to give the system role's instructions priority over potentially conflicting user instructions. Some deployment frameworks enforce this at the infrastructure level by separating system tokens from user tokens and masking them from certain attention computations, but this is an implementation detail, not a property of the base transformer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C05A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IMPORTANT</w:t>
            </w:r>
          </w:p>
        </w:tc>
        <w:tc>
          <w:tcPr>
            <w:tcW w:type="dxa" w:w="9080"/>
            <w:tcBorders>
              <w:top w:val="none"/>
              <w:left w:val="single" w:color="C05A00" w:sz="3"/>
              <w:bottom w:val="none"/>
              <w:right w:val="none"/>
            </w:tcBorders>
            <w:shd w:fill="FDEBD0"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A common misconception is that the system prompt is hidden from the model or encoded separately. In reality, it becomes part of the same linear token sequence as everything else. Its content is fully visible to the attention mechanism. Some providers route system tokens through different software pathways, but from the transformer's perspective they are just tokens at position 0 through N.</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2.3  Conversation History Serialisation</w:t>
      </w:r>
    </w:p>
    <w:p>
      <w:pPr>
        <w:spacing w:after="100" w:before="60"/>
        <w:jc w:val="left"/>
      </w:pPr>
      <w:r>
        <w:rPr>
          <w:rFonts w:ascii="Arial" w:cs="Arial" w:eastAsia="Arial" w:hAnsi="Arial"/>
          <w:b w:val="false"/>
          <w:bCs w:val="false"/>
          <w:i w:val="false"/>
          <w:iCs w:val="false"/>
          <w:color w:val="111111"/>
          <w:sz w:val="22"/>
          <w:szCs w:val="22"/>
        </w:rPr>
        <w:t xml:space="preserve">In multi-turn conversations, all previous turns must be re-serialised into the token sequence on every request. There is no persistent internal state in a standard transformer inference setup between requests. The model has no memory other than what is currently in its context window.</w:t>
      </w:r>
    </w:p>
    <w:p>
      <w:pPr>
        <w:spacing w:after="100" w:before="60"/>
        <w:jc w:val="left"/>
      </w:pPr>
      <w:r>
        <w:rPr>
          <w:rFonts w:ascii="Arial" w:cs="Arial" w:eastAsia="Arial" w:hAnsi="Arial"/>
          <w:b w:val="false"/>
          <w:bCs w:val="false"/>
          <w:i w:val="false"/>
          <w:iCs w:val="false"/>
          <w:color w:val="111111"/>
          <w:sz w:val="22"/>
          <w:szCs w:val="22"/>
        </w:rPr>
        <w:t xml:space="preserve">The practical consequence is that conversation cost grows linearly with history length. A ten-turn conversation with 500 tokens per turn requires 5,000 tokens of context before the model even sees the new message. Providers typically implement conversation truncation strategies — dropping the oldest turns, summarising compressed history, or using sliding windows — to manage this.</w:t>
      </w:r>
    </w:p>
    <w:p>
      <w:pPr>
        <w:pStyle w:val="Heading2"/>
        <w:pBdr>
          <w:bottom w:val="single" w:color="A8C8E8" w:sz="2"/>
        </w:pBdr>
        <w:spacing w:after="100" w:before="280"/>
      </w:pPr>
      <w:r>
        <w:rPr>
          <w:rFonts w:ascii="Arial" w:cs="Arial" w:eastAsia="Arial" w:hAnsi="Arial"/>
          <w:b/>
          <w:bCs/>
          <w:color w:val="1E3A5F"/>
          <w:sz w:val="28"/>
          <w:szCs w:val="28"/>
        </w:rPr>
        <w:t xml:space="preserve">2.4  Tool / Function Calling Formats</w:t>
      </w:r>
    </w:p>
    <w:p>
      <w:pPr>
        <w:spacing w:after="100" w:before="60"/>
        <w:jc w:val="left"/>
      </w:pPr>
      <w:r>
        <w:rPr>
          <w:rFonts w:ascii="Arial" w:cs="Arial" w:eastAsia="Arial" w:hAnsi="Arial"/>
          <w:b w:val="false"/>
          <w:bCs w:val="false"/>
          <w:i w:val="false"/>
          <w:iCs w:val="false"/>
          <w:color w:val="111111"/>
          <w:sz w:val="22"/>
          <w:szCs w:val="22"/>
        </w:rPr>
        <w:t xml:space="preserve">Tool use adds another layer of structural complexity. When a model needs to call an external function, it emits a structured output — typically JSON inside a special delimiter — that the inference runtime intercepts and executes. The result is then injected back into the conversation as a new turn.</w:t>
      </w:r>
    </w:p>
    <w:p>
      <w:pPr>
        <w:spacing w:after="100" w:before="60"/>
        <w:jc w:val="left"/>
      </w:pPr>
      <w:r>
        <w:rPr>
          <w:rFonts w:ascii="Arial" w:cs="Arial" w:eastAsia="Arial" w:hAnsi="Arial"/>
          <w:b w:val="false"/>
          <w:bCs w:val="false"/>
          <w:i w:val="false"/>
          <w:iCs w:val="false"/>
          <w:color w:val="111111"/>
          <w:sz w:val="22"/>
          <w:szCs w:val="22"/>
        </w:rPr>
        <w:t xml:space="preserve">The full tool-use cycle in the token sequence looks like:</w:t>
      </w:r>
    </w:p>
    <w:p>
      <w:pPr>
        <w:pStyle w:val="ListParagraph"/>
        <w:numPr>
          <w:ilvl w:val="0"/>
          <w:numId w:val="2"/>
        </w:numPr>
        <w:spacing w:after="60" w:before="40"/>
      </w:pPr>
      <w:r>
        <w:rPr>
          <w:rFonts w:ascii="Arial" w:cs="Arial" w:eastAsia="Arial" w:hAnsi="Arial"/>
          <w:color w:val="111111"/>
          <w:sz w:val="22"/>
          <w:szCs w:val="22"/>
        </w:rPr>
        <w:t xml:space="preserve">User turn with query tokens.</w:t>
      </w:r>
    </w:p>
    <w:p>
      <w:pPr>
        <w:pStyle w:val="ListParagraph"/>
        <w:numPr>
          <w:ilvl w:val="0"/>
          <w:numId w:val="2"/>
        </w:numPr>
        <w:spacing w:after="60" w:before="40"/>
      </w:pPr>
      <w:r>
        <w:rPr>
          <w:rFonts w:ascii="Arial" w:cs="Arial" w:eastAsia="Arial" w:hAnsi="Arial"/>
          <w:color w:val="111111"/>
          <w:sz w:val="22"/>
          <w:szCs w:val="22"/>
        </w:rPr>
        <w:t xml:space="preserve">Assistant turn opens, model emits &lt;|tool_call|&gt; delimiter.</w:t>
      </w:r>
    </w:p>
    <w:p>
      <w:pPr>
        <w:pStyle w:val="ListParagraph"/>
        <w:numPr>
          <w:ilvl w:val="0"/>
          <w:numId w:val="2"/>
        </w:numPr>
        <w:spacing w:after="60" w:before="40"/>
      </w:pPr>
      <w:r>
        <w:rPr>
          <w:rFonts w:ascii="Arial" w:cs="Arial" w:eastAsia="Arial" w:hAnsi="Arial"/>
          <w:color w:val="111111"/>
          <w:sz w:val="22"/>
          <w:szCs w:val="22"/>
        </w:rPr>
        <w:t xml:space="preserve">Model emits JSON: function name, arguments as structured tokens.</w:t>
      </w:r>
    </w:p>
    <w:p>
      <w:pPr>
        <w:pStyle w:val="ListParagraph"/>
        <w:numPr>
          <w:ilvl w:val="0"/>
          <w:numId w:val="2"/>
        </w:numPr>
        <w:spacing w:after="60" w:before="40"/>
      </w:pPr>
      <w:r>
        <w:rPr>
          <w:rFonts w:ascii="Arial" w:cs="Arial" w:eastAsia="Arial" w:hAnsi="Arial"/>
          <w:color w:val="111111"/>
          <w:sz w:val="22"/>
          <w:szCs w:val="22"/>
        </w:rPr>
        <w:t xml:space="preserve">&lt;|tool_call_end|&gt; delimiter.</w:t>
      </w:r>
    </w:p>
    <w:p>
      <w:pPr>
        <w:pStyle w:val="ListParagraph"/>
        <w:numPr>
          <w:ilvl w:val="0"/>
          <w:numId w:val="2"/>
        </w:numPr>
        <w:spacing w:after="60" w:before="40"/>
      </w:pPr>
      <w:r>
        <w:rPr>
          <w:rFonts w:ascii="Arial" w:cs="Arial" w:eastAsia="Arial" w:hAnsi="Arial"/>
          <w:color w:val="111111"/>
          <w:sz w:val="22"/>
          <w:szCs w:val="22"/>
        </w:rPr>
        <w:t xml:space="preserve">Runtime executes the function; result is injected as a tool-result turn.</w:t>
      </w:r>
    </w:p>
    <w:p>
      <w:pPr>
        <w:pStyle w:val="ListParagraph"/>
        <w:numPr>
          <w:ilvl w:val="0"/>
          <w:numId w:val="2"/>
        </w:numPr>
        <w:spacing w:after="60" w:before="40"/>
      </w:pPr>
      <w:r>
        <w:rPr>
          <w:rFonts w:ascii="Arial" w:cs="Arial" w:eastAsia="Arial" w:hAnsi="Arial"/>
          <w:color w:val="111111"/>
          <w:sz w:val="22"/>
          <w:szCs w:val="22"/>
        </w:rPr>
        <w:t xml:space="preserve">Assistant turn reopens; model continues generating the final response.</w:t>
      </w:r>
    </w:p>
    <w:p>
      <w:pPr>
        <w:spacing w:after="100" w:before="60"/>
        <w:jc w:val="left"/>
      </w:pPr>
      <w:r>
        <w:rPr>
          <w:rFonts w:ascii="Arial" w:cs="Arial" w:eastAsia="Arial" w:hAnsi="Arial"/>
          <w:b w:val="false"/>
          <w:bCs w:val="false"/>
          <w:i w:val="false"/>
          <w:iCs w:val="false"/>
          <w:color w:val="111111"/>
          <w:sz w:val="22"/>
          <w:szCs w:val="22"/>
        </w:rPr>
        <w:t xml:space="preserve">Each of these back-and-forth cycles adds hundreds to thousands of tokens and requires a fresh pre-fill pass over the growing context. Efficient tool use therefore critically depends on fast prompt processing and caching (discussed in Section 4).</w:t>
      </w:r>
    </w:p>
    <w:p>
      <w:pPr>
        <w:pStyle w:val="Heading2"/>
        <w:pBdr>
          <w:bottom w:val="single" w:color="A8C8E8" w:sz="2"/>
        </w:pBdr>
        <w:spacing w:after="100" w:before="280"/>
      </w:pPr>
      <w:r>
        <w:rPr>
          <w:rFonts w:ascii="Arial" w:cs="Arial" w:eastAsia="Arial" w:hAnsi="Arial"/>
          <w:b/>
          <w:bCs/>
          <w:color w:val="1E3A5F"/>
          <w:sz w:val="28"/>
          <w:szCs w:val="28"/>
        </w:rPr>
        <w:t xml:space="preserve">2.5  Multi-Modal Inputs</w:t>
      </w:r>
    </w:p>
    <w:p>
      <w:pPr>
        <w:spacing w:after="100" w:before="60"/>
        <w:jc w:val="left"/>
      </w:pPr>
      <w:r>
        <w:rPr>
          <w:rFonts w:ascii="Arial" w:cs="Arial" w:eastAsia="Arial" w:hAnsi="Arial"/>
          <w:b w:val="false"/>
          <w:bCs w:val="false"/>
          <w:i w:val="false"/>
          <w:iCs w:val="false"/>
          <w:color w:val="111111"/>
          <w:sz w:val="22"/>
          <w:szCs w:val="22"/>
        </w:rPr>
        <w:t xml:space="preserve">Vision-language models extend the linear token sequence to include image tokens. Images are typically passed through a separate vision encoder (e.g. a ViT patch encoder or CLIP) that converts the image into a grid of high-dimensional vectors. These vectors are projected into the text embedding space via a linear adapter and inserted into the token sequence at a placeholder position.</w:t>
      </w:r>
    </w:p>
    <w:p>
      <w:pPr>
        <w:spacing w:after="100" w:before="60"/>
        <w:jc w:val="left"/>
      </w:pPr>
      <w:r>
        <w:rPr>
          <w:rFonts w:ascii="Arial" w:cs="Arial" w:eastAsia="Arial" w:hAnsi="Arial"/>
          <w:b w:val="false"/>
          <w:bCs w:val="false"/>
          <w:i w:val="false"/>
          <w:iCs w:val="false"/>
          <w:color w:val="111111"/>
          <w:sz w:val="22"/>
          <w:szCs w:val="22"/>
        </w:rPr>
        <w:t xml:space="preserve">From the transformer's attention perspective, image patches look exactly like text tokens: they each occupy a position, carry an embedding vector, and participate in full bidirectional attention with surrounding text. The positional encoding for image patches may be 2D (encoding row and column) rather than the 1D encoding used for text, or images may use special learnable positional embeddings.</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3. The Tokenisation Pipeline in Detail</w:t>
      </w:r>
    </w:p>
    <w:p>
      <w:pPr>
        <w:spacing w:after="100" w:before="60"/>
        <w:jc w:val="left"/>
      </w:pPr>
      <w:r>
        <w:rPr>
          <w:rFonts w:ascii="Arial" w:cs="Arial" w:eastAsia="Arial" w:hAnsi="Arial"/>
          <w:b w:val="false"/>
          <w:bCs w:val="false"/>
          <w:i w:val="false"/>
          <w:iCs w:val="false"/>
          <w:color w:val="111111"/>
          <w:sz w:val="22"/>
          <w:szCs w:val="22"/>
        </w:rPr>
        <w:t xml:space="preserve">The journey from raw string input to a tensor of integer IDs passes through several discrete steps. Understanding each step is essential for diagnosing unexpected token counts, debugging prompt injection, and optimising context budget usage.</w:t>
      </w:r>
    </w:p>
    <w:p>
      <w:pPr>
        <w:pStyle w:val="Heading2"/>
        <w:pBdr>
          <w:bottom w:val="single" w:color="A8C8E8" w:sz="2"/>
        </w:pBdr>
        <w:spacing w:after="100" w:before="280"/>
      </w:pPr>
      <w:r>
        <w:rPr>
          <w:rFonts w:ascii="Arial" w:cs="Arial" w:eastAsia="Arial" w:hAnsi="Arial"/>
          <w:b/>
          <w:bCs/>
          <w:color w:val="1E3A5F"/>
          <w:sz w:val="28"/>
          <w:szCs w:val="28"/>
        </w:rPr>
        <w:t xml:space="preserve">3.1  Input Normalisation</w:t>
      </w:r>
    </w:p>
    <w:p>
      <w:pPr>
        <w:spacing w:after="100" w:before="60"/>
        <w:jc w:val="left"/>
      </w:pPr>
      <w:r>
        <w:rPr>
          <w:rFonts w:ascii="Arial" w:cs="Arial" w:eastAsia="Arial" w:hAnsi="Arial"/>
          <w:b w:val="false"/>
          <w:bCs w:val="false"/>
          <w:i w:val="false"/>
          <w:iCs w:val="false"/>
          <w:color w:val="111111"/>
          <w:sz w:val="22"/>
          <w:szCs w:val="22"/>
        </w:rPr>
        <w:t xml:space="preserve">Before the BPE or Unigram rules are applied, text undergoes normalisation. For BPE tokenisers this typically means NFC Unicode normalisation, which ensures that characters like \u00e9 (é as a single code point) and e + \u0301 (e followed by a combining accent) are canonicalised to the same form. Without normalisation, identical-looking characters could tokenise differently depending on how they were produced (e.g. by different operating systems or keyboard layouts).</w:t>
      </w:r>
    </w:p>
    <w:p>
      <w:pPr>
        <w:spacing w:after="100" w:before="60"/>
        <w:jc w:val="left"/>
      </w:pPr>
      <w:r>
        <w:rPr>
          <w:rFonts w:ascii="Arial" w:cs="Arial" w:eastAsia="Arial" w:hAnsi="Arial"/>
          <w:b w:val="false"/>
          <w:bCs w:val="false"/>
          <w:i w:val="false"/>
          <w:iCs w:val="false"/>
          <w:color w:val="111111"/>
          <w:sz w:val="22"/>
          <w:szCs w:val="22"/>
        </w:rPr>
        <w:t xml:space="preserve">SentencePiece models often also apply NFKC normalisation which additionally maps compatibility characters — for example, the full-width digit \uff10 (０) — to their ASCII equivalents. This significantly reduces vocabulary fragmentation for multilingual text.</w:t>
      </w:r>
    </w:p>
    <w:p>
      <w:pPr>
        <w:pStyle w:val="Heading2"/>
        <w:pBdr>
          <w:bottom w:val="single" w:color="A8C8E8" w:sz="2"/>
        </w:pBdr>
        <w:spacing w:after="100" w:before="280"/>
      </w:pPr>
      <w:r>
        <w:rPr>
          <w:rFonts w:ascii="Arial" w:cs="Arial" w:eastAsia="Arial" w:hAnsi="Arial"/>
          <w:b/>
          <w:bCs/>
          <w:color w:val="1E3A5F"/>
          <w:sz w:val="28"/>
          <w:szCs w:val="28"/>
        </w:rPr>
        <w:t xml:space="preserve">3.2  Pre-Tokenisation Splitting</w:t>
      </w:r>
    </w:p>
    <w:p>
      <w:pPr>
        <w:spacing w:after="100" w:before="60"/>
        <w:jc w:val="left"/>
      </w:pPr>
      <w:r>
        <w:rPr>
          <w:rFonts w:ascii="Arial" w:cs="Arial" w:eastAsia="Arial" w:hAnsi="Arial"/>
          <w:b w:val="false"/>
          <w:bCs w:val="false"/>
          <w:i w:val="false"/>
          <w:iCs w:val="false"/>
          <w:color w:val="111111"/>
          <w:sz w:val="22"/>
          <w:szCs w:val="22"/>
        </w:rPr>
        <w:t xml:space="preserve">Before the merge rules run, a regex splits the text into pre-token chunks. For GPT-4 / cl100k_base, the regex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5A647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EXAMPLE</w:t>
            </w:r>
          </w:p>
        </w:tc>
        <w:tc>
          <w:tcPr>
            <w:tcW w:type="dxa" w:w="9080"/>
            <w:tcBorders>
              <w:top w:val="none"/>
              <w:left w:val="single" w:color="5A6470" w:sz="3"/>
              <w:bottom w:val="none"/>
              <w:right w:val="none"/>
            </w:tcBorders>
            <w:shd w:fill="F4F6F8"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'(?i:'s|'t|'re|'ve|'m|'ll|'d)|[^\r\n\p{L}\p{N}]?\p{L}+|\p{N}{1,3}| ?[^\s\p{L}\p{N}]+[\r\n]*|\s*[\r\n]+|\s+(?!\S)|\s+</w:t>
            </w:r>
          </w:p>
        </w:tc>
      </w:tr>
    </w:tbl>
    <w:p>
      <w:pPr>
        <w:spacing w:after="8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This regex ensures that common English contractions (don't, I've), sequences of letters, numbers in groups of up to three digits, punctuation strings, and whitespace are each treated as independent units before merging begins. Merges never cross pre-token boundaries. This is what prevents " New" (space + New) from ever partially merging with the preceding word to produce a nonsensical cross-boundary token.</w:t>
      </w:r>
    </w:p>
    <w:p>
      <w:pPr>
        <w:pStyle w:val="Heading2"/>
        <w:pBdr>
          <w:bottom w:val="single" w:color="A8C8E8" w:sz="2"/>
        </w:pBdr>
        <w:spacing w:after="100" w:before="280"/>
      </w:pPr>
      <w:r>
        <w:rPr>
          <w:rFonts w:ascii="Arial" w:cs="Arial" w:eastAsia="Arial" w:hAnsi="Arial"/>
          <w:b/>
          <w:bCs/>
          <w:color w:val="1E3A5F"/>
          <w:sz w:val="28"/>
          <w:szCs w:val="28"/>
        </w:rPr>
        <w:t xml:space="preserve">3.3  Byte Encoding and Merge Application</w:t>
      </w:r>
    </w:p>
    <w:p>
      <w:pPr>
        <w:spacing w:after="100" w:before="60"/>
        <w:jc w:val="left"/>
      </w:pPr>
      <w:r>
        <w:rPr>
          <w:rFonts w:ascii="Arial" w:cs="Arial" w:eastAsia="Arial" w:hAnsi="Arial"/>
          <w:b w:val="false"/>
          <w:bCs w:val="false"/>
          <w:i w:val="false"/>
          <w:iCs w:val="false"/>
          <w:color w:val="111111"/>
          <w:sz w:val="22"/>
          <w:szCs w:val="22"/>
        </w:rPr>
        <w:t xml:space="preserve">Each pre-token chunk is encoded to UTF-8 bytes. In tiktoken (OpenAI's tokeniser library) this uses a Rust-based Aho-Corasick automaton to scan the byte sequence against the compiled merge table in a single linear pass, which is dramatically faster than the naive O(n^2) greedy approach. The result is a list of token IDs for each chunk.</w:t>
      </w:r>
    </w:p>
    <w:p>
      <w:pPr>
        <w:spacing w:after="100" w:before="60"/>
        <w:jc w:val="left"/>
      </w:pPr>
      <w:r>
        <w:rPr>
          <w:rFonts w:ascii="Arial" w:cs="Arial" w:eastAsia="Arial" w:hAnsi="Arial"/>
          <w:b w:val="false"/>
          <w:bCs w:val="false"/>
          <w:i w:val="false"/>
          <w:iCs w:val="false"/>
          <w:color w:val="111111"/>
          <w:sz w:val="22"/>
          <w:szCs w:val="22"/>
        </w:rPr>
        <w:t xml:space="preserve">The chunks are then concatenated to produce the final flat ID list. This concatenation is pure — no delimiter is inserted between pre-tokens; the split was only ever to constrain which bytes can merge together.</w:t>
      </w:r>
    </w:p>
    <w:p>
      <w:pPr>
        <w:pStyle w:val="Heading2"/>
        <w:pBdr>
          <w:bottom w:val="single" w:color="A8C8E8" w:sz="2"/>
        </w:pBdr>
        <w:spacing w:after="100" w:before="280"/>
      </w:pPr>
      <w:r>
        <w:rPr>
          <w:rFonts w:ascii="Arial" w:cs="Arial" w:eastAsia="Arial" w:hAnsi="Arial"/>
          <w:b/>
          <w:bCs/>
          <w:color w:val="1E3A5F"/>
          <w:sz w:val="28"/>
          <w:szCs w:val="28"/>
        </w:rPr>
        <w:t xml:space="preserve">3.4  Special Token Injection</w:t>
      </w:r>
    </w:p>
    <w:p>
      <w:pPr>
        <w:spacing w:after="100" w:before="60"/>
        <w:jc w:val="left"/>
      </w:pPr>
      <w:r>
        <w:rPr>
          <w:rFonts w:ascii="Arial" w:cs="Arial" w:eastAsia="Arial" w:hAnsi="Arial"/>
          <w:b w:val="false"/>
          <w:bCs w:val="false"/>
          <w:i w:val="false"/>
          <w:iCs w:val="false"/>
          <w:color w:val="111111"/>
          <w:sz w:val="22"/>
          <w:szCs w:val="22"/>
        </w:rPr>
        <w:t xml:space="preserve">After the BPE encoding step, the tokenisation wrapper injects special tokens at structurally required positions. In an API call this injection is handled entirely by the serving infrastructure; the user never sends raw special token IDs. The wrapper:</w:t>
      </w:r>
    </w:p>
    <w:p>
      <w:pPr>
        <w:pStyle w:val="ListParagraph"/>
        <w:numPr>
          <w:ilvl w:val="0"/>
          <w:numId w:val="2"/>
        </w:numPr>
        <w:spacing w:after="60" w:before="40"/>
      </w:pPr>
      <w:r>
        <w:rPr>
          <w:rFonts w:ascii="Arial" w:cs="Arial" w:eastAsia="Arial" w:hAnsi="Arial"/>
          <w:color w:val="111111"/>
          <w:sz w:val="22"/>
          <w:szCs w:val="22"/>
        </w:rPr>
        <w:t xml:space="preserve">Prepends the BOS token if the model requires it.</w:t>
      </w:r>
    </w:p>
    <w:p>
      <w:pPr>
        <w:pStyle w:val="ListParagraph"/>
        <w:numPr>
          <w:ilvl w:val="0"/>
          <w:numId w:val="2"/>
        </w:numPr>
        <w:spacing w:after="60" w:before="40"/>
      </w:pPr>
      <w:r>
        <w:rPr>
          <w:rFonts w:ascii="Arial" w:cs="Arial" w:eastAsia="Arial" w:hAnsi="Arial"/>
          <w:color w:val="111111"/>
          <w:sz w:val="22"/>
          <w:szCs w:val="22"/>
        </w:rPr>
        <w:t xml:space="preserve">Wraps each turn in role-appropriate delimiters.</w:t>
      </w:r>
    </w:p>
    <w:p>
      <w:pPr>
        <w:pStyle w:val="ListParagraph"/>
        <w:numPr>
          <w:ilvl w:val="0"/>
          <w:numId w:val="2"/>
        </w:numPr>
        <w:spacing w:after="60" w:before="40"/>
      </w:pPr>
      <w:r>
        <w:rPr>
          <w:rFonts w:ascii="Arial" w:cs="Arial" w:eastAsia="Arial" w:hAnsi="Arial"/>
          <w:color w:val="111111"/>
          <w:sz w:val="22"/>
          <w:szCs w:val="22"/>
        </w:rPr>
        <w:t xml:space="preserve">Appends the EOS token after completed assistant turns.</w:t>
      </w:r>
    </w:p>
    <w:p>
      <w:pPr>
        <w:pStyle w:val="ListParagraph"/>
        <w:numPr>
          <w:ilvl w:val="0"/>
          <w:numId w:val="2"/>
        </w:numPr>
        <w:spacing w:after="60" w:before="40"/>
      </w:pPr>
      <w:r>
        <w:rPr>
          <w:rFonts w:ascii="Arial" w:cs="Arial" w:eastAsia="Arial" w:hAnsi="Arial"/>
          <w:color w:val="111111"/>
          <w:sz w:val="22"/>
          <w:szCs w:val="22"/>
        </w:rPr>
        <w:t xml:space="preserve">Inserts image placeholder tokens where multi-modal content was provided.</w:t>
      </w:r>
    </w:p>
    <w:p>
      <w:pPr>
        <w:spacing w:after="100" w:before="60"/>
        <w:jc w:val="left"/>
      </w:pPr>
      <w:r>
        <w:rPr>
          <w:rFonts w:ascii="Arial" w:cs="Arial" w:eastAsia="Arial" w:hAnsi="Arial"/>
          <w:b w:val="false"/>
          <w:bCs w:val="false"/>
          <w:i w:val="false"/>
          <w:iCs w:val="false"/>
          <w:color w:val="111111"/>
          <w:sz w:val="22"/>
          <w:szCs w:val="22"/>
        </w:rPr>
        <w:t xml:space="preserve">The resulting sequence is the complete prompt tensor, ready for the embedding lookup.</w:t>
      </w:r>
    </w:p>
    <w:p>
      <w:pPr>
        <w:pStyle w:val="Heading2"/>
        <w:pBdr>
          <w:bottom w:val="single" w:color="A8C8E8" w:sz="2"/>
        </w:pBdr>
        <w:spacing w:after="100" w:before="280"/>
      </w:pPr>
      <w:r>
        <w:rPr>
          <w:rFonts w:ascii="Arial" w:cs="Arial" w:eastAsia="Arial" w:hAnsi="Arial"/>
          <w:b/>
          <w:bCs/>
          <w:color w:val="1E3A5F"/>
          <w:sz w:val="28"/>
          <w:szCs w:val="28"/>
        </w:rPr>
        <w:t xml:space="preserve">3.5  Encoding Edge Cases and Gotchas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16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Actually Happens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Leading spaces on words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 token" vs "token" are different IDs; always check whether your API strips or preserves whitespace at turn boundaries.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Numbers &gt; 3 digits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Large numbers like 12345 split into multiple tokens: "123", "45". Arithmetic on long numbers is therefore inherently harder for transformers.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Non-ASCII in 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Variable names with non-ASCII chars (e.g. Greek letters as variables) can split unexpectedly, costing 2–4x the token budget.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Repeated characters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"aaaaaaa" tokenises very differently from "aaaa" — the merge table may or may not have a rule for the exact repetition length.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Prompt injection strings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Strings that contain literal delimiter tokens (e.g. the string "&lt;|endoftext|&gt;") may or may not be sanitised depending on tokeniser config; some encode them as regular text, others treat them as the actual special token.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Token healing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Some inference runtimes apply token healing — adjusting the last token at the boundary between prompt and generation — to avoid bias from partial words.</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3.6  Detokenisation</w:t>
      </w:r>
    </w:p>
    <w:p>
      <w:pPr>
        <w:spacing w:after="100" w:before="60"/>
        <w:jc w:val="left"/>
      </w:pPr>
      <w:r>
        <w:rPr>
          <w:rFonts w:ascii="Arial" w:cs="Arial" w:eastAsia="Arial" w:hAnsi="Arial"/>
          <w:b w:val="false"/>
          <w:bCs w:val="false"/>
          <w:i w:val="false"/>
          <w:iCs w:val="false"/>
          <w:color w:val="111111"/>
          <w:sz w:val="22"/>
          <w:szCs w:val="22"/>
        </w:rPr>
        <w:t xml:space="preserve">After the model has produced a list of output token IDs, they must be decoded back to a string. For BPE tokenisers, each token maps back to a byte string via the vocabulary, and the byte strings are concatenated and decoded as UTF-8. For SentencePiece models, the ▁ meta-symbol is replaced with a space and leading/trailing spaces are trimmed.</w:t>
      </w:r>
    </w:p>
    <w:p>
      <w:pPr>
        <w:spacing w:after="100" w:before="60"/>
        <w:jc w:val="left"/>
      </w:pPr>
      <w:r>
        <w:rPr>
          <w:rFonts w:ascii="Arial" w:cs="Arial" w:eastAsia="Arial" w:hAnsi="Arial"/>
          <w:b w:val="false"/>
          <w:bCs w:val="false"/>
          <w:i w:val="false"/>
          <w:iCs w:val="false"/>
          <w:color w:val="111111"/>
          <w:sz w:val="22"/>
          <w:szCs w:val="22"/>
        </w:rPr>
        <w:t xml:space="preserve">Detokenisation is typically straightforward but can produce unexpected results at boundaries. Streaming APIs yield tokens one at a time, but some tokens are mid-character multi-byte sequences in UTF-8. A robust streaming detokeniser must buffer incomplete multi-byte sequences until enough bytes arrive to decode a complete Unicode code point before forwarding text to the user interface.</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4. Context Windows, Attention, and the KV Cache</w:t>
      </w:r>
    </w:p>
    <w:p>
      <w:pPr>
        <w:spacing w:after="100" w:before="60"/>
        <w:jc w:val="left"/>
      </w:pPr>
      <w:r>
        <w:rPr>
          <w:rFonts w:ascii="Arial" w:cs="Arial" w:eastAsia="Arial" w:hAnsi="Arial"/>
          <w:b w:val="false"/>
          <w:bCs w:val="false"/>
          <w:i w:val="false"/>
          <w:iCs w:val="false"/>
          <w:color w:val="111111"/>
          <w:sz w:val="22"/>
          <w:szCs w:val="22"/>
        </w:rPr>
        <w:t xml:space="preserve">The context window is the maximum number of tokens a model can process in a single forward pass. It is the most fundamental resource constraint in LLM deployment. Understanding how the context window works internally — through the key-value (KV) cache — is essential for understanding both inference cost and capability.</w:t>
      </w:r>
    </w:p>
    <w:p>
      <w:pPr>
        <w:pStyle w:val="Heading2"/>
        <w:pBdr>
          <w:bottom w:val="single" w:color="A8C8E8" w:sz="2"/>
        </w:pBdr>
        <w:spacing w:after="100" w:before="280"/>
      </w:pPr>
      <w:r>
        <w:rPr>
          <w:rFonts w:ascii="Arial" w:cs="Arial" w:eastAsia="Arial" w:hAnsi="Arial"/>
          <w:b/>
          <w:bCs/>
          <w:color w:val="1E3A5F"/>
          <w:sz w:val="28"/>
          <w:szCs w:val="28"/>
        </w:rPr>
        <w:t xml:space="preserve">4.1  The Self-Attention Mechanism Refresher</w:t>
      </w:r>
    </w:p>
    <w:p>
      <w:pPr>
        <w:spacing w:after="100" w:before="60"/>
        <w:jc w:val="left"/>
      </w:pPr>
      <w:r>
        <w:rPr>
          <w:rFonts w:ascii="Arial" w:cs="Arial" w:eastAsia="Arial" w:hAnsi="Arial"/>
          <w:b w:val="false"/>
          <w:bCs w:val="false"/>
          <w:i w:val="false"/>
          <w:iCs w:val="false"/>
          <w:color w:val="111111"/>
          <w:sz w:val="22"/>
          <w:szCs w:val="22"/>
        </w:rPr>
        <w:t xml:space="preserve">In a transformer, each token at position i can attend to every token at positions 0 through i (in causal / decoder-only models) via the self-attention mechanism. For each attention head, every token generates three vectors: a query (Q), a key (K), and a value (V). Attention is computed 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5A647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EXAMPLE</w:t>
            </w:r>
          </w:p>
        </w:tc>
        <w:tc>
          <w:tcPr>
            <w:tcW w:type="dxa" w:w="9080"/>
            <w:tcBorders>
              <w:top w:val="none"/>
              <w:left w:val="single" w:color="5A6470" w:sz="3"/>
              <w:bottom w:val="none"/>
              <w:right w:val="none"/>
            </w:tcBorders>
            <w:shd w:fill="F4F6F8"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Attention(Q, K, V) = softmax(QK^T / sqrt(d_k)) * V
Where d_k is the key dimension. The scale factor prevents the dot products from entering the region where the softmax gradient vanishes.</w:t>
            </w:r>
          </w:p>
        </w:tc>
      </w:tr>
    </w:tbl>
    <w:p>
      <w:pPr>
        <w:spacing w:after="8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The key insight is that computing attention for one token requires comparing its query against all previous keys. For a sequence of N tokens, this is O(N^2) in memory and O(N^2) in compute, which is why large context windows are expensive.</w:t>
      </w:r>
    </w:p>
    <w:p>
      <w:pPr>
        <w:pStyle w:val="Heading2"/>
        <w:pBdr>
          <w:bottom w:val="single" w:color="A8C8E8" w:sz="2"/>
        </w:pBdr>
        <w:spacing w:after="100" w:before="280"/>
      </w:pPr>
      <w:r>
        <w:rPr>
          <w:rFonts w:ascii="Arial" w:cs="Arial" w:eastAsia="Arial" w:hAnsi="Arial"/>
          <w:b/>
          <w:bCs/>
          <w:color w:val="1E3A5F"/>
          <w:sz w:val="28"/>
          <w:szCs w:val="28"/>
        </w:rPr>
        <w:t xml:space="preserve">4.2  Pre-Fill vs. Decode Phases</w:t>
      </w:r>
    </w:p>
    <w:p>
      <w:pPr>
        <w:spacing w:after="100" w:before="60"/>
        <w:jc w:val="left"/>
      </w:pPr>
      <w:r>
        <w:rPr>
          <w:rFonts w:ascii="Arial" w:cs="Arial" w:eastAsia="Arial" w:hAnsi="Arial"/>
          <w:b w:val="false"/>
          <w:bCs w:val="false"/>
          <w:i w:val="false"/>
          <w:iCs w:val="false"/>
          <w:color w:val="111111"/>
          <w:sz w:val="22"/>
          <w:szCs w:val="22"/>
        </w:rPr>
        <w:t xml:space="preserve">Inference for a generative model has two fundamentally different phases:</w:t>
      </w:r>
    </w:p>
    <w:p>
      <w:pPr>
        <w:pStyle w:val="Heading3"/>
        <w:spacing w:after="80" w:before="200"/>
      </w:pPr>
      <w:r>
        <w:rPr>
          <w:rFonts w:ascii="Arial" w:cs="Arial" w:eastAsia="Arial" w:hAnsi="Arial"/>
          <w:b/>
          <w:bCs/>
          <w:color w:val="1A7A8A"/>
          <w:sz w:val="24"/>
          <w:szCs w:val="24"/>
        </w:rPr>
        <w:t xml:space="preserve">Pre-Fill (Prompt Processing)</w:t>
      </w:r>
    </w:p>
    <w:p>
      <w:pPr>
        <w:spacing w:after="100" w:before="60"/>
        <w:jc w:val="left"/>
      </w:pPr>
      <w:r>
        <w:rPr>
          <w:rFonts w:ascii="Arial" w:cs="Arial" w:eastAsia="Arial" w:hAnsi="Arial"/>
          <w:b w:val="false"/>
          <w:bCs w:val="false"/>
          <w:i w:val="false"/>
          <w:iCs w:val="false"/>
          <w:color w:val="111111"/>
          <w:sz w:val="22"/>
          <w:szCs w:val="22"/>
        </w:rPr>
        <w:t xml:space="preserve">All prompt tokens are known in advance. The model processes the entire sequence in a single batched matrix multiplication. Every token's Q, K, and V projections are computed simultaneously. This is highly parallelisable and GPU-utilisation-friendly. Pre-fill time scales roughly linearly with prompt length for the matrix multiplications, but the O(N^2) attention computation adds a quadratic component for very long prompts.</w:t>
      </w:r>
    </w:p>
    <w:p>
      <w:pPr>
        <w:pStyle w:val="Heading3"/>
        <w:spacing w:after="80" w:before="200"/>
      </w:pPr>
      <w:r>
        <w:rPr>
          <w:rFonts w:ascii="Arial" w:cs="Arial" w:eastAsia="Arial" w:hAnsi="Arial"/>
          <w:b/>
          <w:bCs/>
          <w:color w:val="1A7A8A"/>
          <w:sz w:val="24"/>
          <w:szCs w:val="24"/>
        </w:rPr>
        <w:t xml:space="preserve">Auto-Regressive Decode (Generation)</w:t>
      </w:r>
    </w:p>
    <w:p>
      <w:pPr>
        <w:spacing w:after="100" w:before="60"/>
        <w:jc w:val="left"/>
      </w:pPr>
      <w:r>
        <w:rPr>
          <w:rFonts w:ascii="Arial" w:cs="Arial" w:eastAsia="Arial" w:hAnsi="Arial"/>
          <w:b w:val="false"/>
          <w:bCs w:val="false"/>
          <w:i w:val="false"/>
          <w:iCs w:val="false"/>
          <w:color w:val="111111"/>
          <w:sz w:val="22"/>
          <w:szCs w:val="22"/>
        </w:rPr>
        <w:t xml:space="preserve">After pre-fill, the model generates one token at a time. For each new token, it must compute attention against all previous tokens. Without caching, this would require re-computing K and V for every previous token on every decode step — an enormous redundancy. This is where the KV cache becomes critical.</w:t>
      </w:r>
    </w:p>
    <w:p>
      <w:pPr>
        <w:pStyle w:val="Heading2"/>
        <w:pBdr>
          <w:bottom w:val="single" w:color="A8C8E8" w:sz="2"/>
        </w:pBdr>
        <w:spacing w:after="100" w:before="280"/>
      </w:pPr>
      <w:r>
        <w:rPr>
          <w:rFonts w:ascii="Arial" w:cs="Arial" w:eastAsia="Arial" w:hAnsi="Arial"/>
          <w:b/>
          <w:bCs/>
          <w:color w:val="1E3A5F"/>
          <w:sz w:val="28"/>
          <w:szCs w:val="28"/>
        </w:rPr>
        <w:t xml:space="preserve">4.3  The KV Cache: Architecture and Memory</w:t>
      </w:r>
    </w:p>
    <w:p>
      <w:pPr>
        <w:spacing w:after="100" w:before="60"/>
        <w:jc w:val="left"/>
      </w:pPr>
      <w:r>
        <w:rPr>
          <w:rFonts w:ascii="Arial" w:cs="Arial" w:eastAsia="Arial" w:hAnsi="Arial"/>
          <w:b w:val="false"/>
          <w:bCs w:val="false"/>
          <w:i w:val="false"/>
          <w:iCs w:val="false"/>
          <w:color w:val="111111"/>
          <w:sz w:val="22"/>
          <w:szCs w:val="22"/>
        </w:rPr>
        <w:t xml:space="preserve">The KV cache stores the pre-computed K and V matrices for all previous tokens. When generating token N+1, the model:</w:t>
      </w:r>
    </w:p>
    <w:p>
      <w:pPr>
        <w:pStyle w:val="ListParagraph"/>
        <w:numPr>
          <w:ilvl w:val="0"/>
          <w:numId w:val="2"/>
        </w:numPr>
        <w:spacing w:after="60" w:before="40"/>
      </w:pPr>
      <w:r>
        <w:rPr>
          <w:rFonts w:ascii="Arial" w:cs="Arial" w:eastAsia="Arial" w:hAnsi="Arial"/>
          <w:color w:val="111111"/>
          <w:sz w:val="22"/>
          <w:szCs w:val="22"/>
        </w:rPr>
        <w:t xml:space="preserve">Computes Q, K, V only for the new token.</w:t>
      </w:r>
    </w:p>
    <w:p>
      <w:pPr>
        <w:pStyle w:val="ListParagraph"/>
        <w:numPr>
          <w:ilvl w:val="0"/>
          <w:numId w:val="2"/>
        </w:numPr>
        <w:spacing w:after="60" w:before="40"/>
      </w:pPr>
      <w:r>
        <w:rPr>
          <w:rFonts w:ascii="Arial" w:cs="Arial" w:eastAsia="Arial" w:hAnsi="Arial"/>
          <w:color w:val="111111"/>
          <w:sz w:val="22"/>
          <w:szCs w:val="22"/>
        </w:rPr>
        <w:t xml:space="preserve">Retrieves cached K and V for all previous tokens.</w:t>
      </w:r>
    </w:p>
    <w:p>
      <w:pPr>
        <w:pStyle w:val="ListParagraph"/>
        <w:numPr>
          <w:ilvl w:val="0"/>
          <w:numId w:val="2"/>
        </w:numPr>
        <w:spacing w:after="60" w:before="40"/>
      </w:pPr>
      <w:r>
        <w:rPr>
          <w:rFonts w:ascii="Arial" w:cs="Arial" w:eastAsia="Arial" w:hAnsi="Arial"/>
          <w:color w:val="111111"/>
          <w:sz w:val="22"/>
          <w:szCs w:val="22"/>
        </w:rPr>
        <w:t xml:space="preserve">Appends the new K and V to the cache.</w:t>
      </w:r>
    </w:p>
    <w:p>
      <w:pPr>
        <w:pStyle w:val="ListParagraph"/>
        <w:numPr>
          <w:ilvl w:val="0"/>
          <w:numId w:val="2"/>
        </w:numPr>
        <w:spacing w:after="60" w:before="40"/>
      </w:pPr>
      <w:r>
        <w:rPr>
          <w:rFonts w:ascii="Arial" w:cs="Arial" w:eastAsia="Arial" w:hAnsi="Arial"/>
          <w:color w:val="111111"/>
          <w:sz w:val="22"/>
          <w:szCs w:val="22"/>
        </w:rPr>
        <w:t xml:space="preserve">Runs attention using the full cached K/V sequence.</w:t>
      </w:r>
    </w:p>
    <w:p>
      <w:pPr>
        <w:spacing w:after="100" w:before="60"/>
        <w:jc w:val="left"/>
      </w:pPr>
      <w:r>
        <w:rPr>
          <w:rFonts w:ascii="Arial" w:cs="Arial" w:eastAsia="Arial" w:hAnsi="Arial"/>
          <w:b w:val="false"/>
          <w:bCs w:val="false"/>
          <w:i w:val="false"/>
          <w:iCs w:val="false"/>
          <w:color w:val="111111"/>
          <w:sz w:val="22"/>
          <w:szCs w:val="22"/>
        </w:rPr>
        <w:t xml:space="preserve">This reduces each decode step from O(N^2) compute to O(N) — a dramatic saving. However, the memory cost is substantial. For each layer, for each attention head, for each token, two vectors (K and V) of dimension d_k must be stored. The total KV cache memory for a single sequence of length N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C05A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IMPORTANT</w:t>
            </w:r>
          </w:p>
        </w:tc>
        <w:tc>
          <w:tcPr>
            <w:tcW w:type="dxa" w:w="9080"/>
            <w:tcBorders>
              <w:top w:val="none"/>
              <w:left w:val="single" w:color="C05A00" w:sz="3"/>
              <w:bottom w:val="none"/>
              <w:right w:val="none"/>
            </w:tcBorders>
            <w:shd w:fill="FDEBD0"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Memory = 2 * num_layers * num_heads * d_head * N * bytes_per_element
For a 70B-parameter model with 80 layers, 64 heads, d_head=128, N=128K tokens, fp16:
2 * 80 * 64 * 128 * 131072 * 2 bytes ≈ 429 GB
This is why KV cache, not model weights, is often the binding memory constraint in long-context inference.</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4.4  Multi-Query and Grouped-Query Attention</w:t>
      </w:r>
    </w:p>
    <w:p>
      <w:pPr>
        <w:spacing w:after="100" w:before="60"/>
        <w:jc w:val="left"/>
      </w:pPr>
      <w:r>
        <w:rPr>
          <w:rFonts w:ascii="Arial" w:cs="Arial" w:eastAsia="Arial" w:hAnsi="Arial"/>
          <w:b w:val="false"/>
          <w:bCs w:val="false"/>
          <w:i w:val="false"/>
          <w:iCs w:val="false"/>
          <w:color w:val="111111"/>
          <w:sz w:val="22"/>
          <w:szCs w:val="22"/>
        </w:rPr>
        <w:t xml:space="preserve">To reduce KV cache pressure, modern models use Multi-Query Attention (MQA) or Grouped-Query Attention (GQA). In MQA, all query heads share a single K and V projection, reducing KV cache size by a factor equal to the number of heads. In GQA, heads are divided into groups that share K and V projections, providing a tunable trade-off between cache size and model expressivity.</w:t>
      </w:r>
    </w:p>
    <w:p>
      <w:pPr>
        <w:spacing w:after="100" w:before="60"/>
        <w:jc w:val="left"/>
      </w:pPr>
      <w:r>
        <w:rPr>
          <w:rFonts w:ascii="Arial" w:cs="Arial" w:eastAsia="Arial" w:hAnsi="Arial"/>
          <w:b w:val="false"/>
          <w:bCs w:val="false"/>
          <w:i w:val="false"/>
          <w:iCs w:val="false"/>
          <w:color w:val="111111"/>
          <w:sz w:val="22"/>
          <w:szCs w:val="22"/>
        </w:rPr>
        <w:t xml:space="preserve">Llama 3, Mistral, and other recent models all use GQA. GPT-4 likely uses MQA or GQA internally. This is a significant practical consideration: the effective context window size that can be served in a given GPU memory budget is much larger with GQA than with standard multi-head attention.</w:t>
      </w:r>
    </w:p>
    <w:p>
      <w:pPr>
        <w:pStyle w:val="Heading2"/>
        <w:pBdr>
          <w:bottom w:val="single" w:color="A8C8E8" w:sz="2"/>
        </w:pBdr>
        <w:spacing w:after="100" w:before="280"/>
      </w:pPr>
      <w:r>
        <w:rPr>
          <w:rFonts w:ascii="Arial" w:cs="Arial" w:eastAsia="Arial" w:hAnsi="Arial"/>
          <w:b/>
          <w:bCs/>
          <w:color w:val="1E3A5F"/>
          <w:sz w:val="28"/>
          <w:szCs w:val="28"/>
        </w:rPr>
        <w:t xml:space="preserve">4.5  Prefix Caching</w:t>
      </w:r>
    </w:p>
    <w:p>
      <w:pPr>
        <w:spacing w:after="100" w:before="60"/>
        <w:jc w:val="left"/>
      </w:pPr>
      <w:r>
        <w:rPr>
          <w:rFonts w:ascii="Arial" w:cs="Arial" w:eastAsia="Arial" w:hAnsi="Arial"/>
          <w:b w:val="false"/>
          <w:bCs w:val="false"/>
          <w:i w:val="false"/>
          <w:iCs w:val="false"/>
          <w:color w:val="111111"/>
          <w:sz w:val="22"/>
          <w:szCs w:val="22"/>
        </w:rPr>
        <w:t xml:space="preserve">A natural optimisation for repeated deployments with the same system prompt is prefix caching: storing the KV activations for the system prompt tokens on the server and reusing them across requests. This eliminates the need to re-compute pre-fill for the static system prompt on every call.</w:t>
      </w:r>
    </w:p>
    <w:p>
      <w:pPr>
        <w:spacing w:after="100" w:before="60"/>
        <w:jc w:val="left"/>
      </w:pPr>
      <w:r>
        <w:rPr>
          <w:rFonts w:ascii="Arial" w:cs="Arial" w:eastAsia="Arial" w:hAnsi="Arial"/>
          <w:b w:val="false"/>
          <w:bCs w:val="false"/>
          <w:i w:val="false"/>
          <w:iCs w:val="false"/>
          <w:color w:val="111111"/>
          <w:sz w:val="22"/>
          <w:szCs w:val="22"/>
        </w:rPr>
        <w:t xml:space="preserve">Anthropic, OpenAI, and Google all offer some form of prompt caching. The economic benefit is significant: if the system prompt is 10,000 tokens long and the average conversation has 1,000 tokens of user history, caching the system prompt reduces pre-fill cost by roughly 90%. The technical requirement is that the cached prefix must begin at position 0 and be byte-identical across requests.</w:t>
      </w:r>
    </w:p>
    <w:p>
      <w:pPr>
        <w:pStyle w:val="Heading2"/>
        <w:pBdr>
          <w:bottom w:val="single" w:color="A8C8E8" w:sz="2"/>
        </w:pBdr>
        <w:spacing w:after="100" w:before="280"/>
      </w:pPr>
      <w:r>
        <w:rPr>
          <w:rFonts w:ascii="Arial" w:cs="Arial" w:eastAsia="Arial" w:hAnsi="Arial"/>
          <w:b/>
          <w:bCs/>
          <w:color w:val="1E3A5F"/>
          <w:sz w:val="28"/>
          <w:szCs w:val="28"/>
        </w:rPr>
        <w:t xml:space="preserve">4.6  Position Encodings</w:t>
      </w:r>
    </w:p>
    <w:p>
      <w:pPr>
        <w:spacing w:after="100" w:before="60"/>
        <w:jc w:val="left"/>
      </w:pPr>
      <w:r>
        <w:rPr>
          <w:rFonts w:ascii="Arial" w:cs="Arial" w:eastAsia="Arial" w:hAnsi="Arial"/>
          <w:b w:val="false"/>
          <w:bCs w:val="false"/>
          <w:i w:val="false"/>
          <w:iCs w:val="false"/>
          <w:color w:val="111111"/>
          <w:sz w:val="22"/>
          <w:szCs w:val="22"/>
        </w:rPr>
        <w:t xml:space="preserve">Transformers have no inherent notion of order — all tokens are processed in parallel. Position encodings inject positional information. The main approaches 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6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Models</w:t>
            </w:r>
          </w:p>
        </w:tc>
        <w:tc>
          <w:tcPr>
            <w:tcW w:type="dxa" w:w="38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Sinusoidal (absolute)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Original Transformer, 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Fixed sin/cos at each position; extrapolates poorly beyond training length.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Learned Absolute (ALiBi)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GPT-2, early GPT-3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Embedding table per position; does not extrapolate; simple to implement.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Rotary (RoPE)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LLaMA, Mistral, GPT-NeoX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Relative position encoded as rotation of Q/K vectors; extrapolates better with scaling tricks.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ALiBi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MPT, BLOOM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Attention logits penalised by linear distance; good zero-shot extrapolation.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YaRN / LongRoPE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Extended LLaMA 3, Phi-3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Extends RoPE base frequency or introduces non-uniform scaling to push context to 128K+.</w:t>
            </w:r>
          </w:p>
        </w:tc>
      </w:tr>
    </w:tbl>
    <w:p>
      <w:pPr>
        <w:spacing w:after="80" w:before="0"/>
      </w:pPr>
      <w:r>
        <w:t xml:space="preserve"/>
      </w:r>
    </w:p>
    <w:p>
      <w:pPr>
        <w:spacing w:after="100" w:before="60"/>
        <w:jc w:val="left"/>
      </w:pPr>
      <w:r>
        <w:rPr>
          <w:rFonts w:ascii="Arial" w:cs="Arial" w:eastAsia="Arial" w:hAnsi="Arial"/>
          <w:b w:val="false"/>
          <w:bCs w:val="false"/>
          <w:i w:val="false"/>
          <w:iCs w:val="false"/>
          <w:color w:val="111111"/>
          <w:sz w:val="22"/>
          <w:szCs w:val="22"/>
        </w:rPr>
        <w:t xml:space="preserve">RoPE (Rotary Position Embedding) encodes position as a phase rotation applied directly to the query and key vectors before the dot-product attention computation. Because the rotation depends only on the relative difference between two positions' indices, RoPE produces inherently relative position information, which is one reason it extrapolates better than absolute embeddings to sequence lengths not seen during training.</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5. The Model Forward Pass — From Tokens to Logits</w:t>
      </w:r>
    </w:p>
    <w:p>
      <w:pPr>
        <w:spacing w:after="100" w:before="60"/>
        <w:jc w:val="left"/>
      </w:pPr>
      <w:r>
        <w:rPr>
          <w:rFonts w:ascii="Arial" w:cs="Arial" w:eastAsia="Arial" w:hAnsi="Arial"/>
          <w:b w:val="false"/>
          <w:bCs w:val="false"/>
          <w:i w:val="false"/>
          <w:iCs w:val="false"/>
          <w:color w:val="111111"/>
          <w:sz w:val="22"/>
          <w:szCs w:val="22"/>
        </w:rPr>
        <w:t xml:space="preserve">Once the prompt tensor exists and position encodings are prepared, the data flows through the transformer layers to produce a probability distribution over the vocabulary for the next token.</w:t>
      </w:r>
    </w:p>
    <w:p>
      <w:pPr>
        <w:pStyle w:val="Heading2"/>
        <w:pBdr>
          <w:bottom w:val="single" w:color="A8C8E8" w:sz="2"/>
        </w:pBdr>
        <w:spacing w:after="100" w:before="280"/>
      </w:pPr>
      <w:r>
        <w:rPr>
          <w:rFonts w:ascii="Arial" w:cs="Arial" w:eastAsia="Arial" w:hAnsi="Arial"/>
          <w:b/>
          <w:bCs/>
          <w:color w:val="1E3A5F"/>
          <w:sz w:val="28"/>
          <w:szCs w:val="28"/>
        </w:rPr>
        <w:t xml:space="preserve">5.1  Token Embeddings</w:t>
      </w:r>
    </w:p>
    <w:p>
      <w:pPr>
        <w:spacing w:after="100" w:before="60"/>
        <w:jc w:val="left"/>
      </w:pPr>
      <w:r>
        <w:rPr>
          <w:rFonts w:ascii="Arial" w:cs="Arial" w:eastAsia="Arial" w:hAnsi="Arial"/>
          <w:b w:val="false"/>
          <w:bCs w:val="false"/>
          <w:i w:val="false"/>
          <w:iCs w:val="false"/>
          <w:color w:val="111111"/>
          <w:sz w:val="22"/>
          <w:szCs w:val="22"/>
        </w:rPr>
        <w:t xml:space="preserve">The integer token IDs are first passed through an embedding lookup table of shape [vocab_size × d_model]. Each ID maps to a dense vector of d_model dimensions (e.g. 4096 for a 7B model, 8192 for a 70B model). These vectors are the model's learned representation of each vocabulary entry.</w:t>
      </w:r>
    </w:p>
    <w:p>
      <w:pPr>
        <w:spacing w:after="100" w:before="60"/>
        <w:jc w:val="left"/>
      </w:pPr>
      <w:r>
        <w:rPr>
          <w:rFonts w:ascii="Arial" w:cs="Arial" w:eastAsia="Arial" w:hAnsi="Arial"/>
          <w:b w:val="false"/>
          <w:bCs w:val="false"/>
          <w:i w:val="false"/>
          <w:iCs w:val="false"/>
          <w:color w:val="111111"/>
          <w:sz w:val="22"/>
          <w:szCs w:val="22"/>
        </w:rPr>
        <w:t xml:space="preserve">In many architectures, the embedding matrix is tied — i.e. the same weight matrix is used for both input embedding and the final output projection. This weight tying reduces the number of parameters and encourages the input and output representation spaces to be coherent.</w:t>
      </w:r>
    </w:p>
    <w:p>
      <w:pPr>
        <w:pStyle w:val="Heading2"/>
        <w:pBdr>
          <w:bottom w:val="single" w:color="A8C8E8" w:sz="2"/>
        </w:pBdr>
        <w:spacing w:after="100" w:before="280"/>
      </w:pPr>
      <w:r>
        <w:rPr>
          <w:rFonts w:ascii="Arial" w:cs="Arial" w:eastAsia="Arial" w:hAnsi="Arial"/>
          <w:b/>
          <w:bCs/>
          <w:color w:val="1E3A5F"/>
          <w:sz w:val="28"/>
          <w:szCs w:val="28"/>
        </w:rPr>
        <w:t xml:space="preserve">5.2  Transformer Layer Stack</w:t>
      </w:r>
    </w:p>
    <w:p>
      <w:pPr>
        <w:spacing w:after="100" w:before="60"/>
        <w:jc w:val="left"/>
      </w:pPr>
      <w:r>
        <w:rPr>
          <w:rFonts w:ascii="Arial" w:cs="Arial" w:eastAsia="Arial" w:hAnsi="Arial"/>
          <w:b w:val="false"/>
          <w:bCs w:val="false"/>
          <w:i w:val="false"/>
          <w:iCs w:val="false"/>
          <w:color w:val="111111"/>
          <w:sz w:val="22"/>
          <w:szCs w:val="22"/>
        </w:rPr>
        <w:t xml:space="preserve">The embedded sequence passes through a stack of identical transformer layers (typically 32–96 layers for modern LLMs). Each layer contains:</w:t>
      </w:r>
    </w:p>
    <w:p>
      <w:pPr>
        <w:pStyle w:val="Heading3"/>
        <w:spacing w:after="80" w:before="200"/>
      </w:pPr>
      <w:r>
        <w:rPr>
          <w:rFonts w:ascii="Arial" w:cs="Arial" w:eastAsia="Arial" w:hAnsi="Arial"/>
          <w:b/>
          <w:bCs/>
          <w:color w:val="1A7A8A"/>
          <w:sz w:val="24"/>
          <w:szCs w:val="24"/>
        </w:rPr>
        <w:t xml:space="preserve">Attention Sub-Layer</w:t>
      </w:r>
    </w:p>
    <w:p>
      <w:pPr>
        <w:spacing w:after="100" w:before="60"/>
        <w:jc w:val="left"/>
      </w:pPr>
      <w:r>
        <w:rPr>
          <w:rFonts w:ascii="Arial" w:cs="Arial" w:eastAsia="Arial" w:hAnsi="Arial"/>
          <w:b w:val="false"/>
          <w:bCs w:val="false"/>
          <w:i w:val="false"/>
          <w:iCs w:val="false"/>
          <w:color w:val="111111"/>
          <w:sz w:val="22"/>
          <w:szCs w:val="22"/>
        </w:rPr>
        <w:t xml:space="preserve">Multi-head (or grouped-query) self-attention as described in Section 4. The output is projected back to d_model dimensionality and added to the layer input via a residual connection. Layer normalisation (typically RMS Norm in modern models like LLaMA) is applied — either Pre-LN (before the attention) or Post-LN (after), with Pre-LN being the current standard for training stability.</w:t>
      </w:r>
    </w:p>
    <w:p>
      <w:pPr>
        <w:pStyle w:val="Heading3"/>
        <w:spacing w:after="80" w:before="200"/>
      </w:pPr>
      <w:r>
        <w:rPr>
          <w:rFonts w:ascii="Arial" w:cs="Arial" w:eastAsia="Arial" w:hAnsi="Arial"/>
          <w:b/>
          <w:bCs/>
          <w:color w:val="1A7A8A"/>
          <w:sz w:val="24"/>
          <w:szCs w:val="24"/>
        </w:rPr>
        <w:t xml:space="preserve">Feed-Forward Sub-Layer</w:t>
      </w:r>
    </w:p>
    <w:p>
      <w:pPr>
        <w:spacing w:after="100" w:before="60"/>
        <w:jc w:val="left"/>
      </w:pPr>
      <w:r>
        <w:rPr>
          <w:rFonts w:ascii="Arial" w:cs="Arial" w:eastAsia="Arial" w:hAnsi="Arial"/>
          <w:b w:val="false"/>
          <w:bCs w:val="false"/>
          <w:i w:val="false"/>
          <w:iCs w:val="false"/>
          <w:color w:val="111111"/>
          <w:sz w:val="22"/>
          <w:szCs w:val="22"/>
        </w:rPr>
        <w:t xml:space="preserve">A two-layer MLP (or SwiGLU / GeGLU gated variant in modern architectures) that applies a non-linearity. The intermediate dimension is typically 4x d_model for standard MLPs, or uses the gated variant with a smaller intermediate dimension. This layer is applied position-independently — the same MLP processes each token's representation without inter-token communication. All inter-token information flow happens exclusively in the attention sub-layer.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1A6E3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KEY CONCEPT</w:t>
            </w:r>
          </w:p>
        </w:tc>
        <w:tc>
          <w:tcPr>
            <w:tcW w:type="dxa" w:w="9080"/>
            <w:tcBorders>
              <w:top w:val="none"/>
              <w:left w:val="single" w:color="1A6E3E" w:sz="3"/>
              <w:bottom w:val="none"/>
              <w:right w:val="none"/>
            </w:tcBorders>
            <w:shd w:fill="D4EDDA"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The feed-forward layer can be thought of as a key-value memory store: the first matrix computes which "memories" are relevant to the current token, and the second matrix retrieves associated values. Research on mechanistic interpretability has shown that factual associations and linguistic transformations are largely stored in the MLP weights, while attention heads handle position-dependent relational reasoning.</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5.3  The Final Layer: Logits and the LM Head</w:t>
      </w:r>
    </w:p>
    <w:p>
      <w:pPr>
        <w:spacing w:after="100" w:before="60"/>
        <w:jc w:val="left"/>
      </w:pPr>
      <w:r>
        <w:rPr>
          <w:rFonts w:ascii="Arial" w:cs="Arial" w:eastAsia="Arial" w:hAnsi="Arial"/>
          <w:b w:val="false"/>
          <w:bCs w:val="false"/>
          <w:i w:val="false"/>
          <w:iCs w:val="false"/>
          <w:color w:val="111111"/>
          <w:sz w:val="22"/>
          <w:szCs w:val="22"/>
        </w:rPr>
        <w:t xml:space="preserve">After all transformer layers, the final hidden state for the last position in the sequence (the token immediately before where generation will begin) is passed through the LM head — a linear projection from d_model to vocab_size. This produces a vector of raw scores called logits, one per vocabulary token.</w:t>
      </w:r>
    </w:p>
    <w:p>
      <w:pPr>
        <w:spacing w:after="100" w:before="60"/>
        <w:jc w:val="left"/>
      </w:pPr>
      <w:r>
        <w:rPr>
          <w:rFonts w:ascii="Arial" w:cs="Arial" w:eastAsia="Arial" w:hAnsi="Arial"/>
          <w:b w:val="false"/>
          <w:bCs w:val="false"/>
          <w:i w:val="false"/>
          <w:iCs w:val="false"/>
          <w:color w:val="111111"/>
          <w:sz w:val="22"/>
          <w:szCs w:val="22"/>
        </w:rPr>
        <w:t xml:space="preserve">These logits represent the model's unnormalised confidence that each vocabulary token should come next. They are not probabilities and can take any real value. Converting logits to probabilities requires a softmax, but in practice, sampling strategies operate on the logits directly (via temperature scaling) or on partially normalised subsets, to avoid the numerical instability of computing softmax over a 100,000-entry vocabulary.</w:t>
      </w:r>
    </w:p>
    <w:p>
      <w:pPr>
        <w:pStyle w:val="Heading2"/>
        <w:pBdr>
          <w:bottom w:val="single" w:color="A8C8E8" w:sz="2"/>
        </w:pBdr>
        <w:spacing w:after="100" w:before="280"/>
      </w:pPr>
      <w:r>
        <w:rPr>
          <w:rFonts w:ascii="Arial" w:cs="Arial" w:eastAsia="Arial" w:hAnsi="Arial"/>
          <w:b/>
          <w:bCs/>
          <w:color w:val="1E3A5F"/>
          <w:sz w:val="28"/>
          <w:szCs w:val="28"/>
        </w:rPr>
        <w:t xml:space="preserve">5.4  Attention Masks</w:t>
      </w:r>
    </w:p>
    <w:p>
      <w:pPr>
        <w:spacing w:after="100" w:before="60"/>
        <w:jc w:val="left"/>
      </w:pPr>
      <w:r>
        <w:rPr>
          <w:rFonts w:ascii="Arial" w:cs="Arial" w:eastAsia="Arial" w:hAnsi="Arial"/>
          <w:b w:val="false"/>
          <w:bCs w:val="false"/>
          <w:i w:val="false"/>
          <w:iCs w:val="false"/>
          <w:color w:val="111111"/>
          <w:sz w:val="22"/>
          <w:szCs w:val="22"/>
        </w:rPr>
        <w:t xml:space="preserve">Attention masks are binary or float matrices that prevent certain token pairs from attending to each other. Two types matter for prompt processing:</w:t>
      </w:r>
    </w:p>
    <w:p>
      <w:pPr>
        <w:pStyle w:val="Heading3"/>
        <w:spacing w:after="80" w:before="200"/>
      </w:pPr>
      <w:r>
        <w:rPr>
          <w:rFonts w:ascii="Arial" w:cs="Arial" w:eastAsia="Arial" w:hAnsi="Arial"/>
          <w:b/>
          <w:bCs/>
          <w:color w:val="1A7A8A"/>
          <w:sz w:val="24"/>
          <w:szCs w:val="24"/>
        </w:rPr>
        <w:t xml:space="preserve">Causal (Auto-Regressive) Mask</w:t>
      </w:r>
    </w:p>
    <w:p>
      <w:pPr>
        <w:spacing w:after="100" w:before="60"/>
        <w:jc w:val="left"/>
      </w:pPr>
      <w:r>
        <w:rPr>
          <w:rFonts w:ascii="Arial" w:cs="Arial" w:eastAsia="Arial" w:hAnsi="Arial"/>
          <w:b w:val="false"/>
          <w:bCs w:val="false"/>
          <w:i w:val="false"/>
          <w:iCs w:val="false"/>
          <w:color w:val="111111"/>
          <w:sz w:val="22"/>
          <w:szCs w:val="22"/>
        </w:rPr>
        <w:t xml:space="preserve">In decoder-only models, token i is prevented from attending to token j if j &gt; i. This causal mask enforces the auto-regressive property: the model can only use past information to predict the future. In practice this is implemented as a triangular mask that sets the attention logits for future positions to -infinity before the softmax, effectively zeroing out those attention weights.</w:t>
      </w:r>
    </w:p>
    <w:p>
      <w:pPr>
        <w:pStyle w:val="Heading3"/>
        <w:spacing w:after="80" w:before="200"/>
      </w:pPr>
      <w:r>
        <w:rPr>
          <w:rFonts w:ascii="Arial" w:cs="Arial" w:eastAsia="Arial" w:hAnsi="Arial"/>
          <w:b/>
          <w:bCs/>
          <w:color w:val="1A7A8A"/>
          <w:sz w:val="24"/>
          <w:szCs w:val="24"/>
        </w:rPr>
        <w:t xml:space="preserve">Padding Mask</w:t>
      </w:r>
    </w:p>
    <w:p>
      <w:pPr>
        <w:spacing w:after="100" w:before="60"/>
        <w:jc w:val="left"/>
      </w:pPr>
      <w:r>
        <w:rPr>
          <w:rFonts w:ascii="Arial" w:cs="Arial" w:eastAsia="Arial" w:hAnsi="Arial"/>
          <w:b w:val="false"/>
          <w:bCs w:val="false"/>
          <w:i w:val="false"/>
          <w:iCs w:val="false"/>
          <w:color w:val="111111"/>
          <w:sz w:val="22"/>
          <w:szCs w:val="22"/>
        </w:rPr>
        <w:t xml:space="preserve">When processing a batch of sequences of different lengths, shorter sequences must be padded to the maximum length in the batch. The padding tokens are meaningless and should not influence computation. A padding mask sets their attention logits to -infinity, preventing the model from attending to padding positions. It also prevents padding positions from having their loss computed during training.</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6. Sampling Strategies — From Logits to Output Tokens</w:t>
      </w:r>
    </w:p>
    <w:p>
      <w:pPr>
        <w:spacing w:after="100" w:before="60"/>
        <w:jc w:val="left"/>
      </w:pPr>
      <w:r>
        <w:rPr>
          <w:rFonts w:ascii="Arial" w:cs="Arial" w:eastAsia="Arial" w:hAnsi="Arial"/>
          <w:b w:val="false"/>
          <w:bCs w:val="false"/>
          <w:i w:val="false"/>
          <w:iCs w:val="false"/>
          <w:color w:val="111111"/>
          <w:sz w:val="22"/>
          <w:szCs w:val="22"/>
        </w:rPr>
        <w:t xml:space="preserve">Given the logit vector for the next token position, the inference runtime must decide which token to produce. This decision involves several configurable strategies that together determine the character of the model's outputs.</w:t>
      </w:r>
    </w:p>
    <w:p>
      <w:pPr>
        <w:pStyle w:val="Heading2"/>
        <w:pBdr>
          <w:bottom w:val="single" w:color="A8C8E8" w:sz="2"/>
        </w:pBdr>
        <w:spacing w:after="100" w:before="280"/>
      </w:pPr>
      <w:r>
        <w:rPr>
          <w:rFonts w:ascii="Arial" w:cs="Arial" w:eastAsia="Arial" w:hAnsi="Arial"/>
          <w:b/>
          <w:bCs/>
          <w:color w:val="1E3A5F"/>
          <w:sz w:val="28"/>
          <w:szCs w:val="28"/>
        </w:rPr>
        <w:t xml:space="preserve">6.1  Temperature Scaling</w:t>
      </w:r>
    </w:p>
    <w:p>
      <w:pPr>
        <w:spacing w:after="100" w:before="60"/>
        <w:jc w:val="left"/>
      </w:pPr>
      <w:r>
        <w:rPr>
          <w:rFonts w:ascii="Arial" w:cs="Arial" w:eastAsia="Arial" w:hAnsi="Arial"/>
          <w:b w:val="false"/>
          <w:bCs w:val="false"/>
          <w:i w:val="false"/>
          <w:iCs w:val="false"/>
          <w:color w:val="111111"/>
          <w:sz w:val="22"/>
          <w:szCs w:val="22"/>
        </w:rPr>
        <w:t xml:space="preserve">Temperature T is applied by dividing all logits by T before the softmax. Low temperatures (T &lt; 1) sharpen the distribution, making the most probable token more dominant and producing more deterministic, conservative outputs. High temperatures (T &gt; 1) flatten the distribution, making lower-probability tokens more likely and producing more creative, diverse, but also potentially incoherent outputs. At T → 0, sampling collapses to greedy decoding.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00"/>
        </w:tblCellMar>
      </w:tblPr>
      <w:tblGrid>
        <w:gridCol w:w="280"/>
        <w:gridCol w:w="9080"/>
      </w:tblGrid>
      <w:tr>
        <w:tc>
          <w:tcPr>
            <w:tcW w:type="dxa" w:w="280"/>
            <w:tcBorders>
              <w:top w:val="none"/>
              <w:left w:val="none"/>
              <w:bottom w:val="none"/>
              <w:right w:val="none"/>
            </w:tcBorders>
            <w:shd w:fill="5A647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EXAMPLE</w:t>
            </w:r>
          </w:p>
        </w:tc>
        <w:tc>
          <w:tcPr>
            <w:tcW w:type="dxa" w:w="9080"/>
            <w:tcBorders>
              <w:top w:val="none"/>
              <w:left w:val="single" w:color="5A6470" w:sz="3"/>
              <w:bottom w:val="none"/>
              <w:right w:val="none"/>
            </w:tcBorders>
            <w:shd w:fill="F4F6F8" w:val="clear"/>
            <w:tcMar>
              <w:top w:type="dxa" w:w="80"/>
              <w:left w:type="dxa" w:w="200"/>
              <w:bottom w:type="dxa" w:w="80"/>
              <w:right w:type="dxa" w:w="120"/>
            </w:tcMar>
          </w:tcPr>
          <w:p>
            <w:pPr>
              <w:spacing w:after="0" w:before="0"/>
            </w:pPr>
            <w:r>
              <w:rPr>
                <w:rFonts w:ascii="Arial" w:cs="Arial" w:eastAsia="Arial" w:hAnsi="Arial"/>
                <w:color w:val="111111"/>
                <w:sz w:val="21"/>
                <w:szCs w:val="21"/>
              </w:rPr>
              <w:t xml:space="preserve">Temperature = 0 (greedy decoding): Always picks the highest-probability token. Fast and deterministic, but can produce repetitive, low-diversity text.
Temperature = 0.7: A typical creative writing setting. The top few tokens compete meaningfully.
Temperature = 1.0: The raw distribution — no sharpening or flattening.
Temperature = 1.5+: Experimental outputs; high chance of grammatical errors or incoherence for most models.</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6.2  Top-k Sampling</w:t>
      </w:r>
    </w:p>
    <w:p>
      <w:pPr>
        <w:spacing w:after="100" w:before="60"/>
        <w:jc w:val="left"/>
      </w:pPr>
      <w:r>
        <w:rPr>
          <w:rFonts w:ascii="Arial" w:cs="Arial" w:eastAsia="Arial" w:hAnsi="Arial"/>
          <w:b w:val="false"/>
          <w:bCs w:val="false"/>
          <w:i w:val="false"/>
          <w:iCs w:val="false"/>
          <w:color w:val="111111"/>
          <w:sz w:val="22"/>
          <w:szCs w:val="22"/>
        </w:rPr>
        <w:t xml:space="preserve">Top-k sampling restricts the sampling pool to only the k highest-probability tokens after temperature scaling. All other tokens are set to zero probability. Setting k=1 is identical to greedy decoding. Common values are k=40 to k=100. Top-k sampling prevents the model from ever sampling from the long tail of very low-probability tokens (which are often grammatically or semantically inappropriate), while preserving diversity among the plausible completions.</w:t>
      </w:r>
    </w:p>
    <w:p>
      <w:pPr>
        <w:spacing w:after="100" w:before="60"/>
        <w:jc w:val="left"/>
      </w:pPr>
      <w:r>
        <w:rPr>
          <w:rFonts w:ascii="Arial" w:cs="Arial" w:eastAsia="Arial" w:hAnsi="Arial"/>
          <w:b w:val="false"/>
          <w:bCs w:val="false"/>
          <w:i w:val="false"/>
          <w:iCs w:val="false"/>
          <w:color w:val="111111"/>
          <w:sz w:val="22"/>
          <w:szCs w:val="22"/>
        </w:rPr>
        <w:t xml:space="preserve">The drawback of top-k is that k is a fixed count regardless of the shape of the distribution. If the model is very confident (narrow distribution), k=50 may still include many effectively zero-probability tokens. If the model is very uncertain (flat distribution), k=50 may exclude many viable alternatives.</w:t>
      </w:r>
    </w:p>
    <w:p>
      <w:pPr>
        <w:pStyle w:val="Heading2"/>
        <w:pBdr>
          <w:bottom w:val="single" w:color="A8C8E8" w:sz="2"/>
        </w:pBdr>
        <w:spacing w:after="100" w:before="280"/>
      </w:pPr>
      <w:r>
        <w:rPr>
          <w:rFonts w:ascii="Arial" w:cs="Arial" w:eastAsia="Arial" w:hAnsi="Arial"/>
          <w:b/>
          <w:bCs/>
          <w:color w:val="1E3A5F"/>
          <w:sz w:val="28"/>
          <w:szCs w:val="28"/>
        </w:rPr>
        <w:t xml:space="preserve">6.3  Top-p (Nucleus) Sampling</w:t>
      </w:r>
    </w:p>
    <w:p>
      <w:pPr>
        <w:spacing w:after="100" w:before="60"/>
        <w:jc w:val="left"/>
      </w:pPr>
      <w:r>
        <w:rPr>
          <w:rFonts w:ascii="Arial" w:cs="Arial" w:eastAsia="Arial" w:hAnsi="Arial"/>
          <w:b w:val="false"/>
          <w:bCs w:val="false"/>
          <w:i w:val="false"/>
          <w:iCs w:val="false"/>
          <w:color w:val="111111"/>
          <w:sz w:val="22"/>
          <w:szCs w:val="22"/>
        </w:rPr>
        <w:t xml:space="preserve">Top-p sampling addresses the distribution-shape problem. Instead of taking the top k tokens by count, it takes the smallest set of tokens whose cumulative probability mass exceeds p. For example, with p=0.9, if the top 3 tokens account for 90% of probability mass, only those 3 tokens are sampled. If the distribution is flat, perhaps 50 tokens are needed to accumulate 90%.</w:t>
      </w:r>
    </w:p>
    <w:p>
      <w:pPr>
        <w:spacing w:after="100" w:before="60"/>
        <w:jc w:val="left"/>
      </w:pPr>
      <w:r>
        <w:rPr>
          <w:rFonts w:ascii="Arial" w:cs="Arial" w:eastAsia="Arial" w:hAnsi="Arial"/>
          <w:b w:val="false"/>
          <w:bCs w:val="false"/>
          <w:i w:val="false"/>
          <w:iCs w:val="false"/>
          <w:color w:val="111111"/>
          <w:sz w:val="22"/>
          <w:szCs w:val="22"/>
        </w:rPr>
        <w:t xml:space="preserve">Nucleus sampling is generally considered superior to top-k for open-ended generation because it adapts the sampling pool to the model's uncertainty at each step. Most production APIs expose top-p as the primary sampling parameter. Typical values range from 0.85 to 0.97.</w:t>
      </w:r>
    </w:p>
    <w:p>
      <w:pPr>
        <w:pStyle w:val="Heading2"/>
        <w:pBdr>
          <w:bottom w:val="single" w:color="A8C8E8" w:sz="2"/>
        </w:pBdr>
        <w:spacing w:after="100" w:before="280"/>
      </w:pPr>
      <w:r>
        <w:rPr>
          <w:rFonts w:ascii="Arial" w:cs="Arial" w:eastAsia="Arial" w:hAnsi="Arial"/>
          <w:b/>
          <w:bCs/>
          <w:color w:val="1E3A5F"/>
          <w:sz w:val="28"/>
          <w:szCs w:val="28"/>
        </w:rPr>
        <w:t xml:space="preserve">6.4  Repetition Penalty</w:t>
      </w:r>
    </w:p>
    <w:p>
      <w:pPr>
        <w:spacing w:after="100" w:before="60"/>
        <w:jc w:val="left"/>
      </w:pPr>
      <w:r>
        <w:rPr>
          <w:rFonts w:ascii="Arial" w:cs="Arial" w:eastAsia="Arial" w:hAnsi="Arial"/>
          <w:b w:val="false"/>
          <w:bCs w:val="false"/>
          <w:i w:val="false"/>
          <w:iCs w:val="false"/>
          <w:color w:val="111111"/>
          <w:sz w:val="22"/>
          <w:szCs w:val="22"/>
        </w:rPr>
        <w:t xml:space="preserve">A common practical addition is a repetition penalty that reduces the logits of tokens that have already appeared in the current generation (or prompt). This discourages the model from entering repetitive loops, which can occur especially at high temperatures or when generating long sequences. The penalty is applied multiplicatively: if a token ID has appeared, its logit is divided by the penalty factor (values &gt; 1 penalise repetition). Frequency penalty variants scale the discount by how many times the token has appeared.</w:t>
      </w:r>
    </w:p>
    <w:p>
      <w:pPr>
        <w:pStyle w:val="Heading2"/>
        <w:pBdr>
          <w:bottom w:val="single" w:color="A8C8E8" w:sz="2"/>
        </w:pBdr>
        <w:spacing w:after="100" w:before="280"/>
      </w:pPr>
      <w:r>
        <w:rPr>
          <w:rFonts w:ascii="Arial" w:cs="Arial" w:eastAsia="Arial" w:hAnsi="Arial"/>
          <w:b/>
          <w:bCs/>
          <w:color w:val="1E3A5F"/>
          <w:sz w:val="28"/>
          <w:szCs w:val="28"/>
        </w:rPr>
        <w:t xml:space="preserve">6.5  Beam Search</w:t>
      </w:r>
    </w:p>
    <w:p>
      <w:pPr>
        <w:spacing w:after="100" w:before="60"/>
        <w:jc w:val="left"/>
      </w:pPr>
      <w:r>
        <w:rPr>
          <w:rFonts w:ascii="Arial" w:cs="Arial" w:eastAsia="Arial" w:hAnsi="Arial"/>
          <w:b w:val="false"/>
          <w:bCs w:val="false"/>
          <w:i w:val="false"/>
          <w:iCs w:val="false"/>
          <w:color w:val="111111"/>
          <w:sz w:val="22"/>
          <w:szCs w:val="22"/>
        </w:rPr>
        <w:t xml:space="preserve">Greedy and sampling-based methods produce a single token at each step. Beam search maintains B parallel candidate sequences (beams) and at each step expands each beam by all possible next tokens, keeping only the B sequences with the highest cumulative log-probability. Beam search can find higher-probability sequences than greedy decoding but is B times more expensive.</w:t>
      </w:r>
    </w:p>
    <w:p>
      <w:pPr>
        <w:spacing w:after="100" w:before="60"/>
        <w:jc w:val="left"/>
      </w:pPr>
      <w:r>
        <w:rPr>
          <w:rFonts w:ascii="Arial" w:cs="Arial" w:eastAsia="Arial" w:hAnsi="Arial"/>
          <w:b w:val="false"/>
          <w:bCs w:val="false"/>
          <w:i w:val="false"/>
          <w:iCs w:val="false"/>
          <w:color w:val="111111"/>
          <w:sz w:val="22"/>
          <w:szCs w:val="22"/>
        </w:rPr>
        <w:t xml:space="preserve">For open-ended generative tasks, beam search often produces bland, repetitive text (because the highest-probability sequence tends to be the safest, most generic continuation). It remains valuable for structured generation tasks like translation, summarisation with length constraints, and code completion where the "most likely" sequence is genuinely the target.</w:t>
      </w:r>
    </w:p>
    <w:p>
      <w:pPr>
        <w:pStyle w:val="Heading2"/>
        <w:pBdr>
          <w:bottom w:val="single" w:color="A8C8E8" w:sz="2"/>
        </w:pBdr>
        <w:spacing w:after="100" w:before="280"/>
      </w:pPr>
      <w:r>
        <w:rPr>
          <w:rFonts w:ascii="Arial" w:cs="Arial" w:eastAsia="Arial" w:hAnsi="Arial"/>
          <w:b/>
          <w:bCs/>
          <w:color w:val="1E3A5F"/>
          <w:sz w:val="28"/>
          <w:szCs w:val="28"/>
        </w:rPr>
        <w:t xml:space="preserve">6.6  Structured / Constrained Decoding</w:t>
      </w:r>
    </w:p>
    <w:p>
      <w:pPr>
        <w:spacing w:after="100" w:before="60"/>
        <w:jc w:val="left"/>
      </w:pPr>
      <w:r>
        <w:rPr>
          <w:rFonts w:ascii="Arial" w:cs="Arial" w:eastAsia="Arial" w:hAnsi="Arial"/>
          <w:b w:val="false"/>
          <w:bCs w:val="false"/>
          <w:i w:val="false"/>
          <w:iCs w:val="false"/>
          <w:color w:val="111111"/>
          <w:sz w:val="22"/>
          <w:szCs w:val="22"/>
        </w:rPr>
        <w:t xml:space="preserve">For applications that require JSON output, SQL queries, or adherence to any formal grammar, constrained decoding operates on the logit vector to ensure the output always conforms to the grammar at each step. The runtime maintains a parse state and masks out any token that would create an invalid parse state, setting those logits to -infinity before sampling.</w:t>
      </w:r>
    </w:p>
    <w:p>
      <w:pPr>
        <w:spacing w:after="100" w:before="60"/>
        <w:jc w:val="left"/>
      </w:pPr>
      <w:r>
        <w:rPr>
          <w:rFonts w:ascii="Arial" w:cs="Arial" w:eastAsia="Arial" w:hAnsi="Arial"/>
          <w:b w:val="false"/>
          <w:bCs w:val="false"/>
          <w:i w:val="false"/>
          <w:iCs w:val="false"/>
          <w:color w:val="111111"/>
          <w:sz w:val="22"/>
          <w:szCs w:val="22"/>
        </w:rPr>
        <w:t xml:space="preserve">Libraries like Outlines, LMQL, and Guidance implement this efficiently using finite-state automata that track which tokens are valid given the partial output so far. The masking operation runs in microseconds and adds negligible overhead, making constrained decoding a practical production technique.</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7. Batching, Padding, and Throughput Optimisation</w:t>
      </w:r>
    </w:p>
    <w:p>
      <w:pPr>
        <w:spacing w:after="100" w:before="60"/>
        <w:jc w:val="left"/>
      </w:pPr>
      <w:r>
        <w:rPr>
          <w:rFonts w:ascii="Arial" w:cs="Arial" w:eastAsia="Arial" w:hAnsi="Arial"/>
          <w:b w:val="false"/>
          <w:bCs w:val="false"/>
          <w:i w:val="false"/>
          <w:iCs w:val="false"/>
          <w:color w:val="111111"/>
          <w:sz w:val="22"/>
          <w:szCs w:val="22"/>
        </w:rPr>
        <w:t xml:space="preserve">Real-world LLM serving must handle many simultaneous requests. Efficient batching is what turns a capable model into a high-throughput service.</w:t>
      </w:r>
    </w:p>
    <w:p>
      <w:pPr>
        <w:pStyle w:val="Heading2"/>
        <w:pBdr>
          <w:bottom w:val="single" w:color="A8C8E8" w:sz="2"/>
        </w:pBdr>
        <w:spacing w:after="100" w:before="280"/>
      </w:pPr>
      <w:r>
        <w:rPr>
          <w:rFonts w:ascii="Arial" w:cs="Arial" w:eastAsia="Arial" w:hAnsi="Arial"/>
          <w:b/>
          <w:bCs/>
          <w:color w:val="1E3A5F"/>
          <w:sz w:val="28"/>
          <w:szCs w:val="28"/>
        </w:rPr>
        <w:t xml:space="preserve">7.1  Static Batching</w:t>
      </w:r>
    </w:p>
    <w:p>
      <w:pPr>
        <w:spacing w:after="100" w:before="60"/>
        <w:jc w:val="left"/>
      </w:pPr>
      <w:r>
        <w:rPr>
          <w:rFonts w:ascii="Arial" w:cs="Arial" w:eastAsia="Arial" w:hAnsi="Arial"/>
          <w:b w:val="false"/>
          <w:bCs w:val="false"/>
          <w:i w:val="false"/>
          <w:iCs w:val="false"/>
          <w:color w:val="111111"/>
          <w:sz w:val="22"/>
          <w:szCs w:val="22"/>
        </w:rPr>
        <w:t xml:space="preserve">In static batching, the server waits until B requests have arrived, pads all sequences to the same length (adding [PAD] tokens), runs a single batched forward pass, and returns results. This approach is simple to implement and achieves high GPU utilisation for homogeneous request lengths, but causes two problems: short sequences waste compute on padding tokens, and the entire batch must wait for the slowest (longest) sequence to finish generating.</w:t>
      </w:r>
    </w:p>
    <w:p>
      <w:pPr>
        <w:pStyle w:val="Heading2"/>
        <w:pBdr>
          <w:bottom w:val="single" w:color="A8C8E8" w:sz="2"/>
        </w:pBdr>
        <w:spacing w:after="100" w:before="280"/>
      </w:pPr>
      <w:r>
        <w:rPr>
          <w:rFonts w:ascii="Arial" w:cs="Arial" w:eastAsia="Arial" w:hAnsi="Arial"/>
          <w:b/>
          <w:bCs/>
          <w:color w:val="1E3A5F"/>
          <w:sz w:val="28"/>
          <w:szCs w:val="28"/>
        </w:rPr>
        <w:t xml:space="preserve">7.2  Continuous Batching (Iteration-Level Scheduling)</w:t>
      </w:r>
    </w:p>
    <w:p>
      <w:pPr>
        <w:spacing w:after="100" w:before="60"/>
        <w:jc w:val="left"/>
      </w:pPr>
      <w:r>
        <w:rPr>
          <w:rFonts w:ascii="Arial" w:cs="Arial" w:eastAsia="Arial" w:hAnsi="Arial"/>
          <w:b w:val="false"/>
          <w:bCs w:val="false"/>
          <w:i w:val="false"/>
          <w:iCs w:val="false"/>
          <w:color w:val="111111"/>
          <w:sz w:val="22"/>
          <w:szCs w:val="22"/>
        </w:rPr>
        <w:t xml:space="preserve">Continuous batching (also called in-flight batching) solves the waiting problem by inserting new requests into the batch at the token-generation step boundary rather than waiting for the entire batch to complete. When any request in the current batch finishes (emits EOS), its slot in the batch is immediately replaced by a new waiting request. This keeps GPU utilisation near 100% and dramatically reduces the average waiting time for users.</w:t>
      </w:r>
    </w:p>
    <w:p>
      <w:pPr>
        <w:spacing w:after="100" w:before="60"/>
        <w:jc w:val="left"/>
      </w:pPr>
      <w:r>
        <w:rPr>
          <w:rFonts w:ascii="Arial" w:cs="Arial" w:eastAsia="Arial" w:hAnsi="Arial"/>
          <w:b w:val="false"/>
          <w:bCs w:val="false"/>
          <w:i w:val="false"/>
          <w:iCs w:val="false"/>
          <w:color w:val="111111"/>
          <w:sz w:val="22"/>
          <w:szCs w:val="22"/>
        </w:rPr>
        <w:t xml:space="preserve">NVIDIA's TensorRT-LLM and vLLM both implement continuous batching. It is now the standard for production LLM serving.</w:t>
      </w:r>
    </w:p>
    <w:p>
      <w:pPr>
        <w:pStyle w:val="Heading2"/>
        <w:pBdr>
          <w:bottom w:val="single" w:color="A8C8E8" w:sz="2"/>
        </w:pBdr>
        <w:spacing w:after="100" w:before="280"/>
      </w:pPr>
      <w:r>
        <w:rPr>
          <w:rFonts w:ascii="Arial" w:cs="Arial" w:eastAsia="Arial" w:hAnsi="Arial"/>
          <w:b/>
          <w:bCs/>
          <w:color w:val="1E3A5F"/>
          <w:sz w:val="28"/>
          <w:szCs w:val="28"/>
        </w:rPr>
        <w:t xml:space="preserve">7.3  PagedAttention and Virtual KV Cache</w:t>
      </w:r>
    </w:p>
    <w:p>
      <w:pPr>
        <w:spacing w:after="100" w:before="60"/>
        <w:jc w:val="left"/>
      </w:pPr>
      <w:r>
        <w:rPr>
          <w:rFonts w:ascii="Arial" w:cs="Arial" w:eastAsia="Arial" w:hAnsi="Arial"/>
          <w:b w:val="false"/>
          <w:bCs w:val="false"/>
          <w:i w:val="false"/>
          <w:iCs w:val="false"/>
          <w:color w:val="111111"/>
          <w:sz w:val="22"/>
          <w:szCs w:val="22"/>
        </w:rPr>
        <w:t xml:space="preserve">The KV cache for different sequences has different lengths, and lengths grow unpredictably during generation. If you pre-allocate the maximum context window for every request, you waste most of the memory for short requests. vLLM introduced PagedAttention, which manages KV cache memory using a virtual memory paging scheme analogous to OS virtual memory.</w:t>
      </w:r>
    </w:p>
    <w:p>
      <w:pPr>
        <w:spacing w:after="100" w:before="60"/>
        <w:jc w:val="left"/>
      </w:pPr>
      <w:r>
        <w:rPr>
          <w:rFonts w:ascii="Arial" w:cs="Arial" w:eastAsia="Arial" w:hAnsi="Arial"/>
          <w:b w:val="false"/>
          <w:bCs w:val="false"/>
          <w:i w:val="false"/>
          <w:iCs w:val="false"/>
          <w:color w:val="111111"/>
          <w:sz w:val="22"/>
          <w:szCs w:val="22"/>
        </w:rPr>
        <w:t xml:space="preserve">The KV cache is divided into fixed-size blocks (pages). Each sequence maintains a logical block table mapping logical position ranges to physical memory pages. Pages are allocated on demand as sequences grow. When a sequence finishes, its pages are returned to the pool for reuse. This reduces memory waste to near zero and allows many more requests to share the available GPU memory simultaneously.</w:t>
      </w:r>
    </w:p>
    <w:p>
      <w:pPr>
        <w:pStyle w:val="Heading2"/>
        <w:pBdr>
          <w:bottom w:val="single" w:color="A8C8E8" w:sz="2"/>
        </w:pBdr>
        <w:spacing w:after="100" w:before="280"/>
      </w:pPr>
      <w:r>
        <w:rPr>
          <w:rFonts w:ascii="Arial" w:cs="Arial" w:eastAsia="Arial" w:hAnsi="Arial"/>
          <w:b/>
          <w:bCs/>
          <w:color w:val="1E3A5F"/>
          <w:sz w:val="28"/>
          <w:szCs w:val="28"/>
        </w:rPr>
        <w:t xml:space="preserve">7.4  Flash Attention</w:t>
      </w:r>
    </w:p>
    <w:p>
      <w:pPr>
        <w:spacing w:after="100" w:before="60"/>
        <w:jc w:val="left"/>
      </w:pPr>
      <w:r>
        <w:rPr>
          <w:rFonts w:ascii="Arial" w:cs="Arial" w:eastAsia="Arial" w:hAnsi="Arial"/>
          <w:b w:val="false"/>
          <w:bCs w:val="false"/>
          <w:i w:val="false"/>
          <w:iCs w:val="false"/>
          <w:color w:val="111111"/>
          <w:sz w:val="22"/>
          <w:szCs w:val="22"/>
        </w:rPr>
        <w:t xml:space="preserve">Standard attention requires materialising the full N×N attention matrix in GPU high-bandwidth memory (HBM). For long sequences, this dominates memory usage and memory bandwidth — not compute. Flash Attention (Dao et al., 2022) tiles the computation to keep intermediate results in the much faster on-chip SRAM, never fully materialising the N×N matrix in HBM.</w:t>
      </w:r>
    </w:p>
    <w:p>
      <w:pPr>
        <w:spacing w:after="100" w:before="60"/>
        <w:jc w:val="left"/>
      </w:pPr>
      <w:r>
        <w:rPr>
          <w:rFonts w:ascii="Arial" w:cs="Arial" w:eastAsia="Arial" w:hAnsi="Arial"/>
          <w:b w:val="false"/>
          <w:bCs w:val="false"/>
          <w:i w:val="false"/>
          <w:iCs w:val="false"/>
          <w:color w:val="111111"/>
          <w:sz w:val="22"/>
          <w:szCs w:val="22"/>
        </w:rPr>
        <w:t xml:space="preserve">Flash Attention 2 and 3 extended this to better handle causal masking, GQA, and multi-head variants. The result is 2–5× speedup in the attention computation alone, primarily by reducing memory reads and writes rather than reducing FLOPs. All major inference frameworks now use Flash Attention by default.</w:t>
      </w:r>
    </w:p>
    <w:p>
      <w:pPr>
        <w:pStyle w:val="Heading2"/>
        <w:pBdr>
          <w:bottom w:val="single" w:color="A8C8E8" w:sz="2"/>
        </w:pBdr>
        <w:spacing w:after="100" w:before="280"/>
      </w:pPr>
      <w:r>
        <w:rPr>
          <w:rFonts w:ascii="Arial" w:cs="Arial" w:eastAsia="Arial" w:hAnsi="Arial"/>
          <w:b/>
          <w:bCs/>
          <w:color w:val="1E3A5F"/>
          <w:sz w:val="28"/>
          <w:szCs w:val="28"/>
        </w:rPr>
        <w:t xml:space="preserve">7.5  Speculative Decoding</w:t>
      </w:r>
    </w:p>
    <w:p>
      <w:pPr>
        <w:spacing w:after="100" w:before="60"/>
        <w:jc w:val="left"/>
      </w:pPr>
      <w:r>
        <w:rPr>
          <w:rFonts w:ascii="Arial" w:cs="Arial" w:eastAsia="Arial" w:hAnsi="Arial"/>
          <w:b w:val="false"/>
          <w:bCs w:val="false"/>
          <w:i w:val="false"/>
          <w:iCs w:val="false"/>
          <w:color w:val="111111"/>
          <w:sz w:val="22"/>
          <w:szCs w:val="22"/>
        </w:rPr>
        <w:t xml:space="preserve">Auto-regressive decoding is inherently sequential — one token at a time. Speculative decoding breaks this sequential bottleneck by using a small, cheap draft model to speculatively generate K tokens ahead. The large target model then verifies all K tokens in a single forward pass (because verification is parallelisable unlike generation). If the draft is correct, K tokens are accepted in one step; if any token is rejected, the target model resamples from that point.</w:t>
      </w:r>
    </w:p>
    <w:p>
      <w:pPr>
        <w:spacing w:after="100" w:before="60"/>
        <w:jc w:val="left"/>
      </w:pPr>
      <w:r>
        <w:rPr>
          <w:rFonts w:ascii="Arial" w:cs="Arial" w:eastAsia="Arial" w:hAnsi="Arial"/>
          <w:b w:val="false"/>
          <w:bCs w:val="false"/>
          <w:i w:val="false"/>
          <w:iCs w:val="false"/>
          <w:color w:val="111111"/>
          <w:sz w:val="22"/>
          <w:szCs w:val="22"/>
        </w:rPr>
        <w:t xml:space="preserve">With good draft models (same family, much smaller), acceptance rates of 70–80% are achievable, resulting in 2–3× effective throughput with no quality degradation, since the distribution used for accepted tokens is identical to the original model's distribution.</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8. End-to-End Flow: From API Call to Generated Text</w:t>
      </w:r>
    </w:p>
    <w:p>
      <w:pPr>
        <w:spacing w:after="100" w:before="60"/>
        <w:jc w:val="left"/>
      </w:pPr>
      <w:r>
        <w:rPr>
          <w:rFonts w:ascii="Arial" w:cs="Arial" w:eastAsia="Arial" w:hAnsi="Arial"/>
          <w:b w:val="false"/>
          <w:bCs w:val="false"/>
          <w:i w:val="false"/>
          <w:iCs w:val="false"/>
          <w:color w:val="111111"/>
          <w:sz w:val="22"/>
          <w:szCs w:val="22"/>
        </w:rPr>
        <w:t xml:space="preserve">Bringing all the preceding sections together, here is the complete step-by-step journey of a single API request through a production LLM serving stack.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API Ingestion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Client sends HTTP POST with JSON: model, messages array, sampling params, tool definitions.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Input Validation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Server validates message schema, checks content policy, authenticates API key, routes to model cluster.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Prompt Assembly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System prompt, conversation history, and user message are serialised into a ChatML token sequence. Tool schemas are appended if provided.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Tokenisation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Text is normalised, pre-tokenised, BPE/Unigram-encoded, special tokens injected. Output: integer ID tensor of shape [1, 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KV Cache Lookup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System prompt hash is checked against prefix cache. If hit, pre-fill skips cached prefix and resumes from the cache boundary.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Pre-Fill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Full prompt tensor is processed in one batched forward pass. K/V matrices computed and stored for all N prompt tokens.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Sampling Config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Temperature, top-p, top-k, repetition penalty applied to logits of the last prompt position to sample the first generation token.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Decode Loop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Each new token ID is: embedded → appended to KV cache → next logits computed → sampled → streamed back to client.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Stopping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Loop terminates on: EOS token, max_tokens limit, client stream close, or stop sequence match.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Detokenisation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Token ID stream decoded to UTF-8. Multi-byte sequences buffered. Output text returned in streaming SSE or final JSON.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Post-Processing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Usage metadata (prompt tokens, completion tokens) computed and included in response. Logging, billing, rate-limit counters updated.</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8.1  Streaming and First-Token Latency</w:t>
      </w:r>
    </w:p>
    <w:p>
      <w:pPr>
        <w:spacing w:after="100" w:before="60"/>
        <w:jc w:val="left"/>
      </w:pPr>
      <w:r>
        <w:rPr>
          <w:rFonts w:ascii="Arial" w:cs="Arial" w:eastAsia="Arial" w:hAnsi="Arial"/>
          <w:b w:val="false"/>
          <w:bCs w:val="false"/>
          <w:i w:val="false"/>
          <w:iCs w:val="false"/>
          <w:color w:val="111111"/>
          <w:sz w:val="22"/>
          <w:szCs w:val="22"/>
        </w:rPr>
        <w:t xml:space="preserve">Modern LLM APIs stream output token-by-token using Server-Sent Events (SSE). The most user-visible latency metric is Time to First Token (TTFT) — the delay between the API call and the first decoded token appearing. TTFT is dominated by pre-fill time for long prompts and by queueing time when servers are under load.</w:t>
      </w:r>
    </w:p>
    <w:p>
      <w:pPr>
        <w:spacing w:after="100" w:before="60"/>
        <w:jc w:val="left"/>
      </w:pPr>
      <w:r>
        <w:rPr>
          <w:rFonts w:ascii="Arial" w:cs="Arial" w:eastAsia="Arial" w:hAnsi="Arial"/>
          <w:b w:val="false"/>
          <w:bCs w:val="false"/>
          <w:i w:val="false"/>
          <w:iCs w:val="false"/>
          <w:color w:val="111111"/>
          <w:sz w:val="22"/>
          <w:szCs w:val="22"/>
        </w:rPr>
        <w:t xml:space="preserve">The second key metric is Time Between Tokens (TBT) or inter-token latency. This is roughly constant across the decode phase (assuming no batching changes mid-request) and is determined by the per-step compute of a single forward pass of the decode phase.</w:t>
      </w:r>
    </w:p>
    <w:p>
      <w:pPr>
        <w:pStyle w:val="Heading2"/>
        <w:pBdr>
          <w:bottom w:val="single" w:color="A8C8E8" w:sz="2"/>
        </w:pBdr>
        <w:spacing w:after="100" w:before="280"/>
      </w:pPr>
      <w:r>
        <w:rPr>
          <w:rFonts w:ascii="Arial" w:cs="Arial" w:eastAsia="Arial" w:hAnsi="Arial"/>
          <w:b/>
          <w:bCs/>
          <w:color w:val="1E3A5F"/>
          <w:sz w:val="28"/>
          <w:szCs w:val="28"/>
        </w:rPr>
        <w:t xml:space="preserve">8.2  The Impact of Context Length on Latency</w:t>
      </w:r>
    </w:p>
    <w:p>
      <w:pPr>
        <w:spacing w:after="100" w:before="60"/>
        <w:jc w:val="left"/>
      </w:pPr>
      <w:r>
        <w:rPr>
          <w:rFonts w:ascii="Arial" w:cs="Arial" w:eastAsia="Arial" w:hAnsi="Arial"/>
          <w:b w:val="false"/>
          <w:bCs w:val="false"/>
          <w:i w:val="false"/>
          <w:iCs w:val="false"/>
          <w:color w:val="111111"/>
          <w:sz w:val="22"/>
          <w:szCs w:val="22"/>
        </w:rPr>
        <w:t xml:space="preserve">Pre-fill TTFT grows roughly quadratically with prompt length for the attention computation (O(N^2) in the naïve case, O(N) in Flash Attention due to better hardware utilisation, but still super-linear overall). A prompt of 100K tokens takes substantially longer to pre-fill than a prompt of 1K tokens — not just 100× longer but often several hundred times longer due to memory bandwidth constraints at long sequence lengths.</w:t>
      </w:r>
    </w:p>
    <w:p>
      <w:pPr>
        <w:spacing w:after="100" w:before="60"/>
        <w:jc w:val="left"/>
      </w:pPr>
      <w:r>
        <w:rPr>
          <w:rFonts w:ascii="Arial" w:cs="Arial" w:eastAsia="Arial" w:hAnsi="Arial"/>
          <w:b w:val="false"/>
          <w:bCs w:val="false"/>
          <w:i w:val="false"/>
          <w:iCs w:val="false"/>
          <w:color w:val="111111"/>
          <w:sz w:val="22"/>
          <w:szCs w:val="22"/>
        </w:rPr>
        <w:t xml:space="preserve">Decoding latency is largely independent of prompt length (since the KV cache absorbs the cost of attending to prior tokens), but grows linearly with generation length. This is why long-context requests have high TTFT but comparable token-generation throughput to short-context requests.</w:t>
      </w:r>
    </w:p>
    <w:p>
      <w:pPr>
        <w:pStyle w:val="Heading2"/>
        <w:pBdr>
          <w:bottom w:val="single" w:color="A8C8E8" w:sz="2"/>
        </w:pBdr>
        <w:spacing w:after="100" w:before="280"/>
      </w:pPr>
      <w:r>
        <w:rPr>
          <w:rFonts w:ascii="Arial" w:cs="Arial" w:eastAsia="Arial" w:hAnsi="Arial"/>
          <w:b/>
          <w:bCs/>
          <w:color w:val="1E3A5F"/>
          <w:sz w:val="28"/>
          <w:szCs w:val="28"/>
        </w:rPr>
        <w:t xml:space="preserve">8.3  Context Window Limits and Truncation Strategies</w:t>
      </w:r>
    </w:p>
    <w:p>
      <w:pPr>
        <w:spacing w:after="100" w:before="60"/>
        <w:jc w:val="left"/>
      </w:pPr>
      <w:r>
        <w:rPr>
          <w:rFonts w:ascii="Arial" w:cs="Arial" w:eastAsia="Arial" w:hAnsi="Arial"/>
          <w:b w:val="false"/>
          <w:bCs w:val="false"/>
          <w:i w:val="false"/>
          <w:iCs w:val="false"/>
          <w:color w:val="111111"/>
          <w:sz w:val="22"/>
          <w:szCs w:val="22"/>
        </w:rPr>
        <w:t xml:space="preserve">When a constructed prompt exceeds the model's maximum context window, the serving layer must truncate. Common strategies include: truncating the oldest conversation turns first (keeping the system prompt and recent history); summarising mid-conversation using a secondary model call; or returning an error if the caller is expected to manage context length themselves.</w:t>
      </w:r>
    </w:p>
    <w:p>
      <w:pPr>
        <w:spacing w:after="100" w:before="60"/>
        <w:jc w:val="left"/>
      </w:pPr>
      <w:r>
        <w:rPr>
          <w:rFonts w:ascii="Arial" w:cs="Arial" w:eastAsia="Arial" w:hAnsi="Arial"/>
          <w:b w:val="false"/>
          <w:bCs w:val="false"/>
          <w:i w:val="false"/>
          <w:iCs w:val="false"/>
          <w:color w:val="111111"/>
          <w:sz w:val="22"/>
          <w:szCs w:val="22"/>
        </w:rPr>
        <w:t xml:space="preserve">From the model's perspective, truncation at position 0 removes tokens whose KV entries would have been at the beginning of the cache. The model never sees information that was removed. Importantly, the positional encodings of retained tokens do not shift — the model may therefore see position 5001 immediately following position 0, which can confuse models that learned strong positional structure. Some serving implementations re-index positions after truncation to avoid this.</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9. Advanced Topics in Prompt Processing</w:t>
      </w:r>
    </w:p>
    <w:p>
      <w:pPr>
        <w:pStyle w:val="Heading2"/>
        <w:pBdr>
          <w:bottom w:val="single" w:color="A8C8E8" w:sz="2"/>
        </w:pBdr>
        <w:spacing w:after="100" w:before="280"/>
      </w:pPr>
      <w:r>
        <w:rPr>
          <w:rFonts w:ascii="Arial" w:cs="Arial" w:eastAsia="Arial" w:hAnsi="Arial"/>
          <w:b/>
          <w:bCs/>
          <w:color w:val="1E3A5F"/>
          <w:sz w:val="28"/>
          <w:szCs w:val="28"/>
        </w:rPr>
        <w:t xml:space="preserve">9.1  Logit Bias and Token Forcing</w:t>
      </w:r>
    </w:p>
    <w:p>
      <w:pPr>
        <w:spacing w:after="100" w:before="60"/>
        <w:jc w:val="left"/>
      </w:pPr>
      <w:r>
        <w:rPr>
          <w:rFonts w:ascii="Arial" w:cs="Arial" w:eastAsia="Arial" w:hAnsi="Arial"/>
          <w:b w:val="false"/>
          <w:bCs w:val="false"/>
          <w:i w:val="false"/>
          <w:iCs w:val="false"/>
          <w:color w:val="111111"/>
          <w:sz w:val="22"/>
          <w:szCs w:val="22"/>
        </w:rPr>
        <w:t xml:space="preserve">The API parameter logit_bias (OpenAI) or similar allows callers to add a constant offset to specific token logits before sampling. By setting a token's logit bias to +100, you effectively force it to always be sampled; by setting it to -100, you prevent it from ever being sampled. This mechanism is useful for steering generation toward specific outputs (e.g. requiring a response to begin with a specific word) or for implementing safety filters (preventing specific slurs or identifiers from being generated).</w:t>
      </w:r>
    </w:p>
    <w:p>
      <w:pPr>
        <w:pStyle w:val="Heading2"/>
        <w:pBdr>
          <w:bottom w:val="single" w:color="A8C8E8" w:sz="2"/>
        </w:pBdr>
        <w:spacing w:after="100" w:before="280"/>
      </w:pPr>
      <w:r>
        <w:rPr>
          <w:rFonts w:ascii="Arial" w:cs="Arial" w:eastAsia="Arial" w:hAnsi="Arial"/>
          <w:b/>
          <w:bCs/>
          <w:color w:val="1E3A5F"/>
          <w:sz w:val="28"/>
          <w:szCs w:val="28"/>
        </w:rPr>
        <w:t xml:space="preserve">9.2  Prompt Caching Economics</w:t>
      </w:r>
    </w:p>
    <w:p>
      <w:pPr>
        <w:spacing w:after="100" w:before="60"/>
        <w:jc w:val="left"/>
      </w:pPr>
      <w:r>
        <w:rPr>
          <w:rFonts w:ascii="Arial" w:cs="Arial" w:eastAsia="Arial" w:hAnsi="Arial"/>
          <w:b w:val="false"/>
          <w:bCs w:val="false"/>
          <w:i w:val="false"/>
          <w:iCs w:val="false"/>
          <w:color w:val="111111"/>
          <w:sz w:val="22"/>
          <w:szCs w:val="22"/>
        </w:rPr>
        <w:t xml:space="preserve">Because pre-fill costs scale with token count, large system prompts represent a meaningful cost at scale. Prefix caching amortises this cost. The economic model is: pay full price once for the first request that establishes the cache entry, pay a reduced cache-hit price (often 10–25% of the full price) for all subsequent requests that share the same prefix.</w:t>
      </w:r>
    </w:p>
    <w:p>
      <w:pPr>
        <w:spacing w:after="100" w:before="60"/>
        <w:jc w:val="left"/>
      </w:pPr>
      <w:r>
        <w:rPr>
          <w:rFonts w:ascii="Arial" w:cs="Arial" w:eastAsia="Arial" w:hAnsi="Arial"/>
          <w:b w:val="false"/>
          <w:bCs w:val="false"/>
          <w:i w:val="false"/>
          <w:iCs w:val="false"/>
          <w:color w:val="111111"/>
          <w:sz w:val="22"/>
          <w:szCs w:val="22"/>
        </w:rPr>
        <w:t xml:space="preserve">For a production application with a 10,000-token system prompt serving 1,000 requests per minute, prompt caching can reduce total inference spend by 60–80% depending on the ratio of system prompt tokens to user-turn tokens.</w:t>
      </w:r>
    </w:p>
    <w:p>
      <w:pPr>
        <w:pStyle w:val="Heading2"/>
        <w:pBdr>
          <w:bottom w:val="single" w:color="A8C8E8" w:sz="2"/>
        </w:pBdr>
        <w:spacing w:after="100" w:before="280"/>
      </w:pPr>
      <w:r>
        <w:rPr>
          <w:rFonts w:ascii="Arial" w:cs="Arial" w:eastAsia="Arial" w:hAnsi="Arial"/>
          <w:b/>
          <w:bCs/>
          <w:color w:val="1E3A5F"/>
          <w:sz w:val="28"/>
          <w:szCs w:val="28"/>
        </w:rPr>
        <w:t xml:space="preserve">9.3  Few-Shot Prompting and In-Context Learning</w:t>
      </w:r>
    </w:p>
    <w:p>
      <w:pPr>
        <w:spacing w:after="100" w:before="60"/>
        <w:jc w:val="left"/>
      </w:pPr>
      <w:r>
        <w:rPr>
          <w:rFonts w:ascii="Arial" w:cs="Arial" w:eastAsia="Arial" w:hAnsi="Arial"/>
          <w:b w:val="false"/>
          <w:bCs w:val="false"/>
          <w:i w:val="false"/>
          <w:iCs w:val="false"/>
          <w:color w:val="111111"/>
          <w:sz w:val="22"/>
          <w:szCs w:val="22"/>
        </w:rPr>
        <w:t xml:space="preserve">In-context learning (ICL) refers to the model's ability to infer and apply a task pattern from examples provided in the prompt, without any weight updates. A few-shot prompt appends several input-output demonstration pairs before the query. The model attends to these examples during pre-fill and the K/V representations of the examples effectively "program" the model's behaviour for the completion.</w:t>
      </w:r>
    </w:p>
    <w:p>
      <w:pPr>
        <w:spacing w:after="100" w:before="60"/>
        <w:jc w:val="left"/>
      </w:pPr>
      <w:r>
        <w:rPr>
          <w:rFonts w:ascii="Arial" w:cs="Arial" w:eastAsia="Arial" w:hAnsi="Arial"/>
          <w:b w:val="false"/>
          <w:bCs w:val="false"/>
          <w:i w:val="false"/>
          <w:iCs w:val="false"/>
          <w:color w:val="111111"/>
          <w:sz w:val="22"/>
          <w:szCs w:val="22"/>
        </w:rPr>
        <w:t xml:space="preserve">Research has shown that ICL performance is sensitive to: the ordering of examples (with recency effects favouring later examples), the format consistency between demonstrations and the query, and the label distribution (models can develop a bias toward the most common label in few-shot demonstrations). These are all artefacts of the attention mechanism's ability to pattern-match across the context window.</w:t>
      </w:r>
    </w:p>
    <w:p>
      <w:pPr>
        <w:pStyle w:val="Heading2"/>
        <w:pBdr>
          <w:bottom w:val="single" w:color="A8C8E8" w:sz="2"/>
        </w:pBdr>
        <w:spacing w:after="100" w:before="280"/>
      </w:pPr>
      <w:r>
        <w:rPr>
          <w:rFonts w:ascii="Arial" w:cs="Arial" w:eastAsia="Arial" w:hAnsi="Arial"/>
          <w:b/>
          <w:bCs/>
          <w:color w:val="1E3A5F"/>
          <w:sz w:val="28"/>
          <w:szCs w:val="28"/>
        </w:rPr>
        <w:t xml:space="preserve">9.4  Chain-of-Thought as Token Budget</w:t>
      </w:r>
    </w:p>
    <w:p>
      <w:pPr>
        <w:spacing w:after="100" w:before="60"/>
        <w:jc w:val="left"/>
      </w:pPr>
      <w:r>
        <w:rPr>
          <w:rFonts w:ascii="Arial" w:cs="Arial" w:eastAsia="Arial" w:hAnsi="Arial"/>
          <w:b w:val="false"/>
          <w:bCs w:val="false"/>
          <w:i w:val="false"/>
          <w:iCs w:val="false"/>
          <w:color w:val="111111"/>
          <w:sz w:val="22"/>
          <w:szCs w:val="22"/>
        </w:rPr>
        <w:t xml:space="preserve">Chain-of-thought (CoT) prompting adds intermediate reasoning steps to the prompt (few-shot CoT) or asks the model to reason before answering (zero-shot CoT: "Think step by step"). From a token mechanics perspective, CoT works because the generated reasoning tokens become part of the context that the model attends to when producing the final answer — in effect giving the model more "scratch space" in the token sequence to process complex problems incrementally.</w:t>
      </w:r>
    </w:p>
    <w:p>
      <w:pPr>
        <w:spacing w:after="100" w:before="60"/>
        <w:jc w:val="left"/>
      </w:pPr>
      <w:r>
        <w:rPr>
          <w:rFonts w:ascii="Arial" w:cs="Arial" w:eastAsia="Arial" w:hAnsi="Arial"/>
          <w:b w:val="false"/>
          <w:bCs w:val="false"/>
          <w:i w:val="false"/>
          <w:iCs w:val="false"/>
          <w:color w:val="111111"/>
          <w:sz w:val="22"/>
          <w:szCs w:val="22"/>
        </w:rPr>
        <w:t xml:space="preserve">The token budget implications are significant: a reasoning model generating 1,000 tokens of internal monologue before a 100-token answer costs 10× more in generation terms than a direct-answer model. Extended thinking models (which generate long hidden reasoning chains) therefore have very different cost profiles from standard instruction-tuned models.</w:t>
      </w:r>
    </w:p>
    <w:p>
      <w:pPr>
        <w:pStyle w:val="Heading2"/>
        <w:pBdr>
          <w:bottom w:val="single" w:color="A8C8E8" w:sz="2"/>
        </w:pBdr>
        <w:spacing w:after="100" w:before="280"/>
      </w:pPr>
      <w:r>
        <w:rPr>
          <w:rFonts w:ascii="Arial" w:cs="Arial" w:eastAsia="Arial" w:hAnsi="Arial"/>
          <w:b/>
          <w:bCs/>
          <w:color w:val="1E3A5F"/>
          <w:sz w:val="28"/>
          <w:szCs w:val="28"/>
        </w:rPr>
        <w:t xml:space="preserve">9.5  Quantisation and Its Effect on Tokenisation</w:t>
      </w:r>
    </w:p>
    <w:p>
      <w:pPr>
        <w:spacing w:after="100" w:before="60"/>
        <w:jc w:val="left"/>
      </w:pPr>
      <w:r>
        <w:rPr>
          <w:rFonts w:ascii="Arial" w:cs="Arial" w:eastAsia="Arial" w:hAnsi="Arial"/>
          <w:b w:val="false"/>
          <w:bCs w:val="false"/>
          <w:i w:val="false"/>
          <w:iCs w:val="false"/>
          <w:color w:val="111111"/>
          <w:sz w:val="22"/>
          <w:szCs w:val="22"/>
        </w:rPr>
        <w:t xml:space="preserve">Quantisation reduces the numerical precision of model weights from float16/bfloat16 to int8, int4, or lower. This reduces memory consumption and can increase inference throughput significantly. Tokenisation itself is unaffected by quantisation (it is a lookup table operation, not a matrix multiply). However, quantisation affects the logit distribution and therefore sampling outcomes: heavily quantised models may produce slightly different token distributions, affecting both quality and the statistical properties of streaming outputs.</w:t>
      </w:r>
    </w:p>
    <w:p>
      <w:pPr>
        <w:pStyle w:val="Heading2"/>
        <w:pBdr>
          <w:bottom w:val="single" w:color="A8C8E8" w:sz="2"/>
        </w:pBdr>
        <w:spacing w:after="100" w:before="280"/>
      </w:pPr>
      <w:r>
        <w:rPr>
          <w:rFonts w:ascii="Arial" w:cs="Arial" w:eastAsia="Arial" w:hAnsi="Arial"/>
          <w:b/>
          <w:bCs/>
          <w:color w:val="1E3A5F"/>
          <w:sz w:val="28"/>
          <w:szCs w:val="28"/>
        </w:rPr>
        <w:t xml:space="preserve">9.6  Prompt Injection and Security</w:t>
      </w:r>
    </w:p>
    <w:p>
      <w:pPr>
        <w:spacing w:after="100" w:before="60"/>
        <w:jc w:val="left"/>
      </w:pPr>
      <w:r>
        <w:rPr>
          <w:rFonts w:ascii="Arial" w:cs="Arial" w:eastAsia="Arial" w:hAnsi="Arial"/>
          <w:b w:val="false"/>
          <w:bCs w:val="false"/>
          <w:i w:val="false"/>
          <w:iCs w:val="false"/>
          <w:color w:val="111111"/>
          <w:sz w:val="22"/>
          <w:szCs w:val="22"/>
        </w:rPr>
        <w:t xml:space="preserve">Because the system prompt and user input are concatenated into the same token sequence, a malicious user can attempt to inject instructions that override the system prompt by embedding delimiter tokens, role markers, or semantically overriding instructions in their input. Mitigations include: sanitising known delimiter strings from user input before tokenisation, training models to resist role-reversal attacks through RLHF or Constitutional AI techniques, and using infrastructure-level routing to prepend system prompts that the user cannot see or modify.</w:t>
      </w:r>
    </w:p>
    <w:p>
      <w:pPr>
        <w:spacing w:after="100" w:before="60"/>
        <w:jc w:val="left"/>
      </w:pPr>
      <w:r>
        <w:rPr>
          <w:rFonts w:ascii="Arial" w:cs="Arial" w:eastAsia="Arial" w:hAnsi="Arial"/>
          <w:b w:val="false"/>
          <w:bCs w:val="false"/>
          <w:i w:val="false"/>
          <w:iCs w:val="false"/>
          <w:color w:val="111111"/>
          <w:sz w:val="22"/>
          <w:szCs w:val="22"/>
        </w:rPr>
        <w:t xml:space="preserve">From a token perspective, true prompt injection at the byte level is constrained because the special tokens used as delimiters are injected programmatically, not from user text. However, semantic injection — where carefully crafted user text influences the model to behave as if it had different instructions — operates at the embedding level and is much harder to prevent purely through tokenisation safeguards.</w:t>
      </w:r>
    </w:p>
    <w:p>
      <w:pPr>
        <w:pStyle w:val="Heading1"/>
        <w:pBdr>
          <w:bottom w:val="single" w:color="2D6DB5" w:sz="4"/>
        </w:pBdr>
        <w:shd w:fill="1E3A5F" w:val="clear"/>
        <w:spacing w:after="120" w:before="360"/>
        <w:ind w:left="240" w:right="240"/>
      </w:pPr>
      <w:r>
        <w:rPr>
          <w:rFonts w:ascii="Arial" w:cs="Arial" w:eastAsia="Arial" w:hAnsi="Arial"/>
          <w:b/>
          <w:bCs/>
          <w:color w:val="FFFFFF"/>
          <w:sz w:val="32"/>
          <w:szCs w:val="32"/>
        </w:rPr>
        <w:t xml:space="preserve">10. Quick Reference: Key Numbers and Formulas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Parameter / Formula</w:t>
            </w:r>
          </w:p>
        </w:tc>
        <w:tc>
          <w:tcPr>
            <w:tcW w:type="dxa" w:w="576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Typical Values / 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BPE vocabulary size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GPT-2: 50,257 | GPT-4 / cl100k: 100,256 | LLaMA 3: 128,256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Chars per token (English)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~3.5–4.5 characters | Code: ~2–3 | Dense JSON: ~2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Context window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GPT-4: 128K | Claude 3.5: 200K | Gemini 1.5 Pro: 1M | LLaMA 3.1: 128K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KV cache memory per token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~0.5 MB per 1K tokens for a 7B model in fp16 with GQA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TTFT scaling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O(N) with Flash Attention pre-fill; quadratic memory bandwidth at extremes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Speculative decoding speedup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2–3× typical with small draft model; acceptance rate ~70–80%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Temperature range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0 = greedy | 0.7–1.0 = general use | 1.5+ = experimental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Prefix cache savings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60–80% cost reduction for large fixed system prompts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BPE training merges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Typically 30K–100K merge rules beyond base 256-byte vocab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Pre-fill vs decode cost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Pre-fill: ~3× more compute per token than decode; but parallelisable</w:t>
            </w:r>
          </w:p>
        </w:tc>
      </w:tr>
    </w:tbl>
    <w:p>
      <w:pPr>
        <w:spacing w:after="80" w:before="0"/>
      </w:pPr>
      <w:r>
        <w:t xml:space="preserve"/>
      </w:r>
    </w:p>
    <w:p>
      <w:pPr>
        <w:pStyle w:val="Heading2"/>
        <w:pBdr>
          <w:bottom w:val="single" w:color="A8C8E8" w:sz="2"/>
        </w:pBdr>
        <w:spacing w:after="100" w:before="280"/>
      </w:pPr>
      <w:r>
        <w:rPr>
          <w:rFonts w:ascii="Arial" w:cs="Arial" w:eastAsia="Arial" w:hAnsi="Arial"/>
          <w:b/>
          <w:bCs/>
          <w:color w:val="1E3A5F"/>
          <w:sz w:val="28"/>
          <w:szCs w:val="28"/>
        </w:rPr>
        <w:t xml:space="preserve">Glossary of Key Terms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2D6DB5" w:sz="1"/>
              <w:left w:val="single" w:color="2D6DB5" w:sz="1"/>
              <w:bottom w:val="single" w:color="2D6DB5" w:sz="1"/>
              <w:right w:val="single" w:color="2D6DB5"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Byte-Pair Encoding — iterative merge-based sub-word tokenisation algorithm.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ChatML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Chat Markup Language — OpenAI's structured format for multi-turn conversation prompts.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Context window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Maximum number of tokens (prompt + generation) the model can process at once.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GQA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Grouped-Query Attention — reduces KV cache size by sharing K/V projections across head groups.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Greedy decoding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Always selecting the highest-probability next token; deterministic but prone to repetition.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KV cache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Memory store of pre-computed Key/Value matrices from prior tokens; enables efficient decode.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Logits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Raw unnormalised scores output by the LM head, one per vocabulary token.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Nucleus sampling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Top-p sampling — sample from the minimal token set covering probability mass 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PagedAttention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Virtual memory paging for KV cache; enables high-throughput concurrent serving.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Pre-fill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The batched forward pass processing all prompt tokens at once before decode begins.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RoPE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Rotary Position Embedding — encodes position as phase rotation of Q/K vectors.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Speculative decoding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Draft-then-verify scheme for parallel token acceptance; increases throughput 2–3×.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Temperature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Logit scaling factor; low T = deterministic, high T = diverse/creative.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Tokeniser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Software converting text to token IDs (and back) using a vocabulary and merge rules.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TTFT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11111"/>
                <w:sz w:val="20"/>
                <w:szCs w:val="20"/>
              </w:rPr>
              <w:t xml:space="preserve">Time to First Token — latency from API call to first streamed output token.</w:t>
            </w:r>
          </w:p>
        </w:tc>
      </w:tr>
    </w:tbl>
    <w:p>
      <w:pPr>
        <w:spacing w:after="80" w:before="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5A6470"/>
        <w:sz w:val="18"/>
        <w:szCs w:val="18"/>
      </w:rPr>
      <w:t xml:space="preserve">Prompt Processing: End-to-End Flow &amp; Tokenisation   |   Page </w:t>
    </w:r>
    <w:r>
      <w:rPr>
        <w:rFonts w:ascii="Arial" w:cs="Arial" w:eastAsia="Arial" w:hAnsi="Arial"/>
        <w:color w:val="5A6470"/>
        <w:sz w:val="18"/>
        <w:szCs w:val="18"/>
      </w:rPr>
      <w:fldChar w:fldCharType="begin"/>
      <w:instrText xml:space="preserve">PAGE</w:instrText>
      <w:fldChar w:fldCharType="separate"/>
      <w:fldChar w:fldCharType="end"/>
    </w:r>
    <w:r>
      <w:rPr>
        <w:rFonts w:ascii="Arial" w:cs="Arial" w:eastAsia="Arial" w:hAnsi="Arial"/>
        <w:color w:val="5A6470"/>
        <w:sz w:val="18"/>
        <w:szCs w:val="18"/>
      </w:rPr>
      <w:t xml:space="preserve"> of </w:t>
    </w:r>
    <w:r>
      <w:rPr>
        <w:rFonts w:ascii="Arial" w:cs="Arial" w:eastAsia="Arial" w:hAnsi="Arial"/>
        <w:color w:val="5A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2026-04-06T00:27:58.378Z</dcterms:created>
  <dcterms:modified xsi:type="dcterms:W3CDTF">2026-04-06T00:27:58.379Z</dcterms:modified>
</cp:coreProperties>
</file>

<file path=docProps/custom.xml><?xml version="1.0" encoding="utf-8"?>
<Properties xmlns="http://schemas.openxmlformats.org/officeDocument/2006/custom-properties" xmlns:vt="http://schemas.openxmlformats.org/officeDocument/2006/docPropsVTypes"/>
</file>