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e930b23ab7dc3d31217d14620fd3824e6bef77c"/>
      <w:r>
        <w:t xml:space="preserve">Expert study as a Google Form (easy for participants + documented proof)</w:t>
      </w:r>
      <w:bookmarkEnd w:id="20"/>
    </w:p>
    <w:p>
      <w:pPr>
        <w:pStyle w:val="FirstParagraph"/>
      </w:pPr>
      <w:r>
        <w:t xml:space="preserve">This turns the paper study into a Google Form your 14–15 experts can fill in about 10 minutes. Every</w:t>
      </w:r>
      <w:r>
        <w:t xml:space="preserve"> </w:t>
      </w:r>
      <w:r>
        <w:t xml:space="preserve">submission is timestamped and logged to a Google Sheet, giving you auditable, documented proof.</w:t>
      </w:r>
    </w:p>
    <w:p>
      <w:pPr>
        <w:pStyle w:val="Heading2"/>
      </w:pPr>
      <w:bookmarkStart w:id="21" w:name="files"/>
      <w:r>
        <w:t xml:space="preserve">Files</w:t>
      </w:r>
      <w:bookmarkEnd w:id="21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it does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create_google_form.gs</w:t>
            </w:r>
          </w:p>
        </w:tc>
        <w:tc>
          <w:p>
            <w:pPr>
              <w:pStyle w:val="Compact"/>
              <w:jc w:val="left"/>
            </w:pPr>
            <w:r>
              <w:t xml:space="preserve">One-click Apps Script that</w:t>
            </w:r>
            <w:r>
              <w:t xml:space="preserve"> </w:t>
            </w:r>
            <w:r>
              <w:rPr>
                <w:b/>
              </w:rPr>
              <w:t xml:space="preserve">builds the whole form</w:t>
            </w:r>
            <w:r>
              <w:t xml:space="preserve"> </w:t>
            </w:r>
            <w:r>
              <w:t xml:space="preserve">from the 8 real items (consent, background, and each statement shown first without evidence, then with it).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analyze_google_form_responses.py</w:t>
            </w:r>
          </w:p>
        </w:tc>
        <w:tc>
          <w:p>
            <w:pPr>
              <w:pStyle w:val="Compact"/>
              <w:jc w:val="left"/>
            </w:pPr>
            <w:r>
              <w:t xml:space="preserve">Reads the Form’s exported responses and computes the Section 7.6 statistics + a ready-to-paste paragraph.</w:t>
            </w:r>
          </w:p>
        </w:tc>
      </w:tr>
    </w:tbl>
    <w:p>
      <w:pPr>
        <w:pStyle w:val="Heading2"/>
      </w:pPr>
      <w:bookmarkStart w:id="22" w:name="Xcbfea5d3ce7378299a056359df126476af31617"/>
      <w:r>
        <w:t xml:space="preserve">Step 1 — Create the form (about 2 minutes, once)</w:t>
      </w:r>
      <w:bookmarkEnd w:id="22"/>
    </w:p>
    <w:p>
      <w:pPr>
        <w:numPr>
          <w:ilvl w:val="0"/>
          <w:numId w:val="1001"/>
        </w:numPr>
        <w:pStyle w:val="Compact"/>
      </w:pPr>
      <w:r>
        <w:t xml:space="preserve">Go to</w:t>
      </w:r>
      <w:r>
        <w:t xml:space="preserve"> </w:t>
      </w:r>
      <w:r>
        <w:rPr>
          <w:b/>
        </w:rPr>
        <w:t xml:space="preserve">https://script.google.com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New project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Delete the sample code, paste</w:t>
      </w:r>
      <w:r>
        <w:t xml:space="preserve"> </w:t>
      </w:r>
      <w:r>
        <w:rPr>
          <w:b/>
        </w:rPr>
        <w:t xml:space="preserve">all of</w:t>
      </w:r>
      <w:r>
        <w:rPr>
          <w:b/>
        </w:rPr>
        <w:t xml:space="preserve"> </w:t>
      </w:r>
      <w:r>
        <w:rPr>
          <w:rStyle w:val="VerbatimChar"/>
          <w:b/>
        </w:rPr>
        <w:t xml:space="preserve">create_google_form.gs</w:t>
      </w:r>
      <w:r>
        <w:t xml:space="preserve">, click</w:t>
      </w:r>
      <w:r>
        <w:t xml:space="preserve"> </w:t>
      </w:r>
      <w:r>
        <w:rPr>
          <w:b/>
        </w:rPr>
        <w:t xml:space="preserve">Save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Ensure the function box shows</w:t>
      </w:r>
      <w:r>
        <w:t xml:space="preserve"> </w:t>
      </w:r>
      <w:r>
        <w:rPr>
          <w:b/>
        </w:rPr>
        <w:t xml:space="preserve">buildForm</w:t>
      </w:r>
      <w:r>
        <w:t xml:space="preserve">, click</w:t>
      </w:r>
      <w:r>
        <w:t xml:space="preserve"> </w:t>
      </w:r>
      <w:r>
        <w:rPr>
          <w:b/>
        </w:rPr>
        <w:t xml:space="preserve">Run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First run only:</w:t>
      </w:r>
      <w:r>
        <w:t xml:space="preserve"> </w:t>
      </w:r>
      <w:r>
        <w:rPr>
          <w:b/>
        </w:rPr>
        <w:t xml:space="preserve">Review permissions → your account → Allow</w:t>
      </w:r>
      <w:r>
        <w:t xml:space="preserve"> </w:t>
      </w:r>
      <w:r>
        <w:t xml:space="preserve">(it only edits Forms you own).</w:t>
      </w:r>
    </w:p>
    <w:p>
      <w:pPr>
        <w:numPr>
          <w:ilvl w:val="0"/>
          <w:numId w:val="1001"/>
        </w:numPr>
        <w:pStyle w:val="Compact"/>
      </w:pPr>
      <w:r>
        <w:t xml:space="preserve">Open</w:t>
      </w:r>
      <w:r>
        <w:t xml:space="preserve"> </w:t>
      </w:r>
      <w:r>
        <w:rPr>
          <w:b/>
        </w:rPr>
        <w:t xml:space="preserve">View → Logs</w:t>
      </w:r>
      <w:r>
        <w:t xml:space="preserve">. It prints:</w:t>
      </w:r>
    </w:p>
    <w:p>
      <w:pPr>
        <w:numPr>
          <w:ilvl w:val="1"/>
          <w:numId w:val="1002"/>
        </w:numPr>
        <w:pStyle w:val="Compact"/>
      </w:pPr>
      <w:r>
        <w:rPr>
          <w:b/>
        </w:rPr>
        <w:t xml:space="preserve">EDIT URL</w:t>
      </w:r>
      <w:r>
        <w:t xml:space="preserve"> </w:t>
      </w:r>
      <w:r>
        <w:t xml:space="preserve">— open to review/adjust wording, add your name/logo, etc.</w:t>
      </w:r>
    </w:p>
    <w:p>
      <w:pPr>
        <w:numPr>
          <w:ilvl w:val="1"/>
          <w:numId w:val="1002"/>
        </w:numPr>
        <w:pStyle w:val="Compact"/>
      </w:pPr>
      <w:r>
        <w:rPr>
          <w:b/>
        </w:rPr>
        <w:t xml:space="preserve">LIVE URL</w:t>
      </w:r>
      <w:r>
        <w:t xml:space="preserve"> </w:t>
      </w:r>
      <w:r>
        <w:t xml:space="preserve">— the link you send to participants.</w:t>
      </w:r>
    </w:p>
    <w:p>
      <w:pPr>
        <w:pStyle w:val="Heading2"/>
      </w:pPr>
      <w:bookmarkStart w:id="23" w:name="Xbaa5188ceb8f99987bb07ac36818cf698525227"/>
      <w:r>
        <w:t xml:space="preserve">Step 2 — Turn on response logging (documented proof)</w:t>
      </w:r>
      <w:bookmarkEnd w:id="23"/>
    </w:p>
    <w:p>
      <w:pPr>
        <w:pStyle w:val="FirstParagraph"/>
      </w:pPr>
      <w:r>
        <w:t xml:space="preserve">In the form editor:</w:t>
      </w:r>
      <w:r>
        <w:t xml:space="preserve"> </w:t>
      </w:r>
      <w:r>
        <w:rPr>
          <w:b/>
        </w:rPr>
        <w:t xml:space="preserve">Responses</w:t>
      </w:r>
      <w:r>
        <w:t xml:space="preserve"> </w:t>
      </w:r>
      <w:r>
        <w:t xml:space="preserve">tab → the green</w:t>
      </w:r>
      <w:r>
        <w:t xml:space="preserve"> </w:t>
      </w:r>
      <w:r>
        <w:rPr>
          <w:b/>
        </w:rPr>
        <w:t xml:space="preserve">Sheets</w:t>
      </w:r>
      <w:r>
        <w:t xml:space="preserve"> </w:t>
      </w:r>
      <w:r>
        <w:t xml:space="preserve">icon →</w:t>
      </w:r>
      <w:r>
        <w:t xml:space="preserve"> </w:t>
      </w:r>
      <w:r>
        <w:rPr>
          <w:b/>
        </w:rPr>
        <w:t xml:space="preserve">Create spreadsheet</w:t>
      </w:r>
      <w:r>
        <w:t xml:space="preserve">. From now on</w:t>
      </w:r>
      <w:r>
        <w:t xml:space="preserve"> </w:t>
      </w:r>
      <w:r>
        <w:t xml:space="preserve">every submission lands in that Google Sheet with a timestamp. (Keep the sheet; it is your evidence.)</w:t>
      </w:r>
    </w:p>
    <w:p>
      <w:pPr>
        <w:pStyle w:val="Heading2"/>
      </w:pPr>
      <w:bookmarkStart w:id="24" w:name="step-3-collect-responses"/>
      <w:r>
        <w:t xml:space="preserve">Step 3 — Collect responses</w:t>
      </w:r>
      <w:bookmarkEnd w:id="24"/>
    </w:p>
    <w:p>
      <w:pPr>
        <w:pStyle w:val="FirstParagraph"/>
      </w:pPr>
      <w:r>
        <w:t xml:space="preserve">Send the</w:t>
      </w:r>
      <w:r>
        <w:t xml:space="preserve"> </w:t>
      </w:r>
      <w:r>
        <w:rPr>
          <w:b/>
        </w:rPr>
        <w:t xml:space="preserve">LIVE URL</w:t>
      </w:r>
      <w:r>
        <w:t xml:space="preserve"> </w:t>
      </w:r>
      <w:r>
        <w:t xml:space="preserve">to your 12–20 experts (finance/MBA/CS grads, junior analysts, or colleagues).</w:t>
      </w:r>
      <w:r>
        <w:t xml:space="preserve"> </w:t>
      </w:r>
      <w:r>
        <w:t xml:space="preserve">The form already enforces the design: participants rate the plain statement (Version A) on one page,</w:t>
      </w:r>
      <w:r>
        <w:t xml:space="preserve"> </w:t>
      </w:r>
      <w:r>
        <w:t xml:space="preserve">then see the same statement</w:t>
      </w:r>
      <w:r>
        <w:t xml:space="preserve"> </w:t>
      </w:r>
      <w:r>
        <w:rPr>
          <w:b/>
        </w:rPr>
        <w:t xml:space="preserve">with its evidence</w:t>
      </w:r>
      <w:r>
        <w:t xml:space="preserve"> </w:t>
      </w:r>
      <w:r>
        <w:t xml:space="preserve">(Version B) on the next page and rate again + pick a</w:t>
      </w:r>
      <w:r>
        <w:t xml:space="preserve"> </w:t>
      </w:r>
      <w:r>
        <w:t xml:space="preserve">preference. It is anonymous; an optional Participant ID field lets you track who has completed it.</w:t>
      </w:r>
    </w:p>
    <w:p>
      <w:pPr>
        <w:pStyle w:val="Heading2"/>
      </w:pPr>
      <w:bookmarkStart w:id="25" w:name="step-4-analyse"/>
      <w:r>
        <w:t xml:space="preserve">Step 4 — Analyse</w:t>
      </w:r>
      <w:bookmarkEnd w:id="25"/>
    </w:p>
    <w:p>
      <w:pPr>
        <w:numPr>
          <w:ilvl w:val="0"/>
          <w:numId w:val="1003"/>
        </w:numPr>
        <w:pStyle w:val="Compact"/>
      </w:pPr>
      <w:r>
        <w:t xml:space="preserve">In the linked Google Sheet:</w:t>
      </w:r>
      <w:r>
        <w:t xml:space="preserve"> </w:t>
      </w:r>
      <w:r>
        <w:rPr>
          <w:b/>
        </w:rPr>
        <w:t xml:space="preserve">File → Download → Microsoft Excel (.xlsx)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Put that file next to</w:t>
      </w:r>
      <w:r>
        <w:t xml:space="preserve"> </w:t>
      </w:r>
      <w:r>
        <w:rPr>
          <w:rStyle w:val="VerbatimChar"/>
        </w:rPr>
        <w:t xml:space="preserve">analyze_google_form_responses.py</w:t>
      </w:r>
      <w:r>
        <w:t xml:space="preserve">, renamed</w:t>
      </w:r>
      <w:r>
        <w:t xml:space="preserve"> </w:t>
      </w:r>
      <w:r>
        <w:rPr>
          <w:rStyle w:val="VerbatimChar"/>
        </w:rPr>
        <w:t xml:space="preserve">responses.xlsx</w:t>
      </w:r>
      <w:r>
        <w:t xml:space="preserve"> </w:t>
      </w:r>
      <w:r>
        <w:t xml:space="preserve">(or pass its path).</w:t>
      </w:r>
    </w:p>
    <w:p>
      <w:pPr>
        <w:numPr>
          <w:ilvl w:val="0"/>
          <w:numId w:val="1003"/>
        </w:numPr>
        <w:pStyle w:val="Compact"/>
      </w:pPr>
      <w:r>
        <w:t xml:space="preserve">Run:</w:t>
      </w:r>
      <w:r>
        <w:t xml:space="preserve"> </w:t>
      </w:r>
      <w:r>
        <w:rPr>
          <w:rStyle w:val="VerbatimChar"/>
        </w:rPr>
        <w:t xml:space="preserve">pip install openpyxl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python analyze_google_form_responses.py responses.xlsx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It writes</w:t>
      </w:r>
      <w:r>
        <w:t xml:space="preserve"> </w:t>
      </w:r>
      <w:r>
        <w:rPr>
          <w:rStyle w:val="VerbatimChar"/>
        </w:rPr>
        <w:t xml:space="preserve">results.md</w:t>
      </w:r>
      <w:r>
        <w:t xml:space="preserve"> </w:t>
      </w:r>
      <w:r>
        <w:t xml:space="preserve">with the trust/completeness/preference statistics and a ready-to-paste</w:t>
      </w:r>
      <w:r>
        <w:t xml:space="preserve"> </w:t>
      </w:r>
      <w:r>
        <w:t xml:space="preserve">Section 7.6 paragraph. Send me</w:t>
      </w:r>
      <w:r>
        <w:t xml:space="preserve"> </w:t>
      </w:r>
      <w:r>
        <w:rPr>
          <w:rStyle w:val="VerbatimChar"/>
        </w:rPr>
        <w:t xml:space="preserve">results.md</w:t>
      </w:r>
      <w:r>
        <w:t xml:space="preserve"> </w:t>
      </w:r>
      <w:r>
        <w:t xml:space="preserve">(or the responses file) and I’ll finalise §7.6.</w:t>
      </w:r>
    </w:p>
    <w:p>
      <w:pPr>
        <w:pStyle w:val="Heading2"/>
      </w:pPr>
      <w:bookmarkStart w:id="26" w:name="notes"/>
      <w:r>
        <w:t xml:space="preserve">Notes</w:t>
      </w:r>
      <w:bookmarkEnd w:id="26"/>
    </w:p>
    <w:p>
      <w:pPr>
        <w:numPr>
          <w:ilvl w:val="0"/>
          <w:numId w:val="1004"/>
        </w:numPr>
        <w:pStyle w:val="Compact"/>
      </w:pPr>
      <w:r>
        <w:t xml:space="preserve">Target</w:t>
      </w:r>
      <w:r>
        <w:t xml:space="preserve"> </w:t>
      </w:r>
      <w:r>
        <w:rPr>
          <w:b/>
        </w:rPr>
        <w:t xml:space="preserve">12–20</w:t>
      </w:r>
      <w:r>
        <w:t xml:space="preserve"> </w:t>
      </w:r>
      <w:r>
        <w:t xml:space="preserve">respondents; 12 is enough if the effect is as large as expected, more is better.</w:t>
      </w:r>
    </w:p>
    <w:p>
      <w:pPr>
        <w:numPr>
          <w:ilvl w:val="0"/>
          <w:numId w:val="1004"/>
        </w:numPr>
        <w:pStyle w:val="Compact"/>
      </w:pPr>
      <w:r>
        <w:t xml:space="preserve">No coding needed beyond pasting the script; the paper-based</w:t>
      </w:r>
      <w:r>
        <w:t xml:space="preserve"> </w:t>
      </w:r>
      <w:r>
        <w:rPr>
          <w:rStyle w:val="VerbatimChar"/>
        </w:rPr>
        <w:t xml:space="preserve">participant_packet.docx</w:t>
      </w:r>
      <w:r>
        <w:t xml:space="preserve"> </w:t>
      </w:r>
      <w:r>
        <w:t xml:space="preserve">in the parent</w:t>
      </w:r>
      <w:r>
        <w:t xml:space="preserve"> </w:t>
      </w:r>
      <w:r>
        <w:t xml:space="preserve">folder remains available as an offline alternative.</w:t>
      </w:r>
    </w:p>
    <w:p>
      <w:pPr>
        <w:numPr>
          <w:ilvl w:val="0"/>
          <w:numId w:val="1004"/>
        </w:numPr>
        <w:pStyle w:val="Compact"/>
      </w:pPr>
      <w:r>
        <w:t xml:space="preserve">Ethics: obtain your institution’s ethics/IRB clearance or exemption before collecting; the form’s first</w:t>
      </w:r>
      <w:r>
        <w:t xml:space="preserve"> </w:t>
      </w:r>
      <w:r>
        <w:t xml:space="preserve">question is an explicit anonymous-consent item and keeps a record of it.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2026-07-09T00:27:28Z</dcterms:created>
  <dcterms:modified xsi:type="dcterms:W3CDTF">2026-07-09T00:27:28Z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