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db7ee4d1851b12e65e2e8b136904ea52cb7ab"/>
      <w:r>
        <w:t xml:space="preserve">OntoKG-EQ Expert Study — Facilitator Protocol</w:t>
      </w:r>
      <w:bookmarkEnd w:id="20"/>
    </w:p>
    <w:p>
      <w:pPr>
        <w:pStyle w:val="Heading2"/>
      </w:pPr>
      <w:bookmarkStart w:id="21" w:name="purpose"/>
      <w:r>
        <w:t xml:space="preserve">Purpose</w:t>
      </w:r>
      <w:bookmarkEnd w:id="21"/>
    </w:p>
    <w:p>
      <w:pPr>
        <w:pStyle w:val="FirstParagraph"/>
      </w:pPr>
      <w:r>
        <w:t xml:space="preserve">Convert the paper’s</w:t>
      </w:r>
      <w:r>
        <w:t xml:space="preserve"> </w:t>
      </w:r>
      <w:r>
        <w:rPr>
          <w:i/>
        </w:rPr>
        <w:t xml:space="preserve">structural</w:t>
      </w:r>
      <w:r>
        <w:t xml:space="preserve"> </w:t>
      </w:r>
      <w:r>
        <w:t xml:space="preserve">faithfulness guarantee into a</w:t>
      </w:r>
      <w:r>
        <w:t xml:space="preserve"> </w:t>
      </w:r>
      <w:r>
        <w:rPr>
          <w:i/>
        </w:rPr>
        <w:t xml:space="preserve">measured</w:t>
      </w:r>
      <w:r>
        <w:t xml:space="preserve"> </w:t>
      </w:r>
      <w:r>
        <w:t xml:space="preserve">human-utility result: do the</w:t>
      </w:r>
      <w:r>
        <w:t xml:space="preserve"> </w:t>
      </w:r>
      <w:r>
        <w:t xml:space="preserve">provenance-grounded explanations (Version B) improve analyst</w:t>
      </w:r>
      <w:r>
        <w:t xml:space="preserve"> </w:t>
      </w:r>
      <w:r>
        <w:rPr>
          <w:b/>
        </w:rPr>
        <w:t xml:space="preserve">trust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perceived completeness</w:t>
      </w:r>
      <w:r>
        <w:t xml:space="preserve"> </w:t>
      </w:r>
      <w:r>
        <w:t xml:space="preserve">over result-only notes (Version A)? This is the §7.6 pre-registered study.</w:t>
      </w:r>
    </w:p>
    <w:p>
      <w:pPr>
        <w:pStyle w:val="Heading2"/>
      </w:pPr>
      <w:bookmarkStart w:id="22" w:name="design"/>
      <w:r>
        <w:t xml:space="preserve">Design</w:t>
      </w:r>
      <w:bookmarkEnd w:id="22"/>
    </w:p>
    <w:p>
      <w:pPr>
        <w:pStyle w:val="FirstParagraph"/>
      </w:pPr>
      <w:r>
        <w:t xml:space="preserve">Within-subject, within-item A/B. Each participant rates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statement twice — first as a</w:t>
      </w:r>
      <w:r>
        <w:t xml:space="preserve"> </w:t>
      </w:r>
      <w:r>
        <w:t xml:space="preserve">result-only note (A), then with its evidence bundle (B) — across 8 real OntoKG-EQ items (PSX, MSX, IDX,</w:t>
      </w:r>
      <w:r>
        <w:t xml:space="preserve"> </w:t>
      </w:r>
      <w:r>
        <w:t xml:space="preserve">and the 64-stock IDX set). Primary outcomes: Trust (1–7), Completeness of justification (1–7). Secondary:</w:t>
      </w:r>
      <w:r>
        <w:t xml:space="preserve"> </w:t>
      </w:r>
      <w:r>
        <w:t xml:space="preserve">forced A/B preference; optional verification time.</w:t>
      </w:r>
    </w:p>
    <w:p>
      <w:pPr>
        <w:pStyle w:val="Heading2"/>
      </w:pPr>
      <w:bookmarkStart w:id="23" w:name="what-you-need"/>
      <w:r>
        <w:t xml:space="preserve">What you need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Participants:</w:t>
      </w:r>
      <w:r>
        <w:t xml:space="preserve"> </w:t>
      </w:r>
      <w:r>
        <w:t xml:space="preserve">target</w:t>
      </w:r>
      <w:r>
        <w:t xml:space="preserve"> </w:t>
      </w:r>
      <w:r>
        <w:rPr>
          <w:b/>
        </w:rPr>
        <w:t xml:space="preserve">12–20</w:t>
      </w:r>
      <w:r>
        <w:t xml:space="preserve"> </w:t>
      </w:r>
      <w:r>
        <w:t xml:space="preserve">people with some finance background (finance/MBA/CS graduate</w:t>
      </w:r>
      <w:r>
        <w:t xml:space="preserve"> </w:t>
      </w:r>
      <w:r>
        <w:t xml:space="preserve">students, junior analysts, or faculty colleagues). 12 is enough for significance if the effect is as</w:t>
      </w:r>
      <w:r>
        <w:t xml:space="preserve"> </w:t>
      </w:r>
      <w:r>
        <w:t xml:space="preserve">large as expected; more is better.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Materials (in this folder):</w:t>
      </w:r>
      <w:r>
        <w:t xml:space="preserve"> </w:t>
      </w:r>
      <w:r>
        <w:rPr>
          <w:rStyle w:val="VerbatimChar"/>
        </w:rPr>
        <w:t xml:space="preserve">participant_packet.docx</w:t>
      </w:r>
      <w:r>
        <w:t xml:space="preserve"> </w:t>
      </w:r>
      <w:r>
        <w:t xml:space="preserve">(print or share one per participant),</w:t>
      </w:r>
      <w:r>
        <w:t xml:space="preserve"> </w:t>
      </w:r>
      <w:r>
        <w:t xml:space="preserve">the Google Form for collection (exported as</w:t>
      </w:r>
      <w:r>
        <w:t xml:space="preserve"> </w:t>
      </w:r>
      <w:r>
        <w:rPr>
          <w:rStyle w:val="VerbatimChar"/>
        </w:rPr>
        <w:t xml:space="preserve">Form responses (17).xlsx</w:t>
      </w:r>
      <w:r>
        <w:t xml:space="preserve">),</w:t>
      </w:r>
      <w:r>
        <w:t xml:space="preserve"> </w:t>
      </w:r>
      <w:r>
        <w:rPr>
          <w:rStyle w:val="VerbatimChar"/>
        </w:rPr>
        <w:t xml:space="preserve">analyze_expert_study.py</w:t>
      </w:r>
      <w:r>
        <w:t xml:space="preserve"> </w:t>
      </w:r>
      <w:r>
        <w:t xml:space="preserve">(analysis).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Time:</w:t>
      </w:r>
      <w:r>
        <w:t xml:space="preserve"> </w:t>
      </w:r>
      <w:r>
        <w:t xml:space="preserve">~20–30 min per participant; the whole study can be done in a week.</w:t>
      </w:r>
    </w:p>
    <w:p>
      <w:pPr>
        <w:pStyle w:val="Heading2"/>
      </w:pPr>
      <w:bookmarkStart w:id="24" w:name="procedure-per-participant"/>
      <w:r>
        <w:t xml:space="preserve">Procedure (per participant)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Assign a Participant ID (P01, P02, …). Record role and years of experience.</w:t>
      </w:r>
    </w:p>
    <w:p>
      <w:pPr>
        <w:numPr>
          <w:ilvl w:val="0"/>
          <w:numId w:val="1002"/>
        </w:numPr>
        <w:pStyle w:val="Compact"/>
      </w:pPr>
      <w:r>
        <w:t xml:space="preserve">Give them the packet. Ask them to read each item’s</w:t>
      </w:r>
      <w:r>
        <w:t xml:space="preserve"> </w:t>
      </w:r>
      <w:r>
        <w:rPr>
          <w:b/>
        </w:rPr>
        <w:t xml:space="preserve">Version A first</w:t>
      </w:r>
      <w:r>
        <w:t xml:space="preserve"> </w:t>
      </w:r>
      <w:r>
        <w:t xml:space="preserve">and rate Trust + Completeness,</w:t>
      </w:r>
      <w:r>
        <w:t xml:space="preserve"> </w:t>
      </w:r>
      <w:r>
        <w:t xml:space="preserve">and note what they’d need to verify it.</w:t>
      </w:r>
      <w:r>
        <w:t xml:space="preserve"> </w:t>
      </w:r>
      <w:r>
        <w:rPr>
          <w:b/>
        </w:rPr>
        <w:t xml:space="preserve">Keep Version B covered</w:t>
      </w:r>
      <w:r>
        <w:t xml:space="preserve"> </w:t>
      </w:r>
      <w:r>
        <w:t xml:space="preserve">until Part 1 is done (fold the page,</w:t>
      </w:r>
      <w:r>
        <w:t xml:space="preserve"> </w:t>
      </w:r>
      <w:r>
        <w:t xml:space="preserve">or use a digital form that reveals B only after A is submitted).</w:t>
      </w:r>
    </w:p>
    <w:p>
      <w:pPr>
        <w:numPr>
          <w:ilvl w:val="0"/>
          <w:numId w:val="1002"/>
        </w:numPr>
        <w:pStyle w:val="Compact"/>
      </w:pPr>
      <w:r>
        <w:t xml:space="preserve">Reveal</w:t>
      </w:r>
      <w:r>
        <w:t xml:space="preserve"> </w:t>
      </w:r>
      <w:r>
        <w:rPr>
          <w:b/>
        </w:rPr>
        <w:t xml:space="preserve">Version B</w:t>
      </w:r>
      <w:r>
        <w:t xml:space="preserve">; they re-rate Trust + Completeness and mark which version they’d rather receive.</w:t>
      </w:r>
    </w:p>
    <w:p>
      <w:pPr>
        <w:numPr>
          <w:ilvl w:val="0"/>
          <w:numId w:val="1002"/>
        </w:numPr>
        <w:pStyle w:val="Compact"/>
      </w:pPr>
      <w:r>
        <w:t xml:space="preserve">(Optional) Time how long they spend verifying each version and record seconds.</w:t>
      </w:r>
    </w:p>
    <w:p>
      <w:pPr>
        <w:numPr>
          <w:ilvl w:val="0"/>
          <w:numId w:val="1002"/>
        </w:numPr>
        <w:pStyle w:val="Compact"/>
      </w:pPr>
      <w:r>
        <w:t xml:space="preserve">Responses are collected through the Google Form and exported as</w:t>
      </w:r>
      <w:r>
        <w:t xml:space="preserve"> </w:t>
      </w:r>
      <w:r>
        <w:rPr>
          <w:rStyle w:val="VerbatimChar"/>
        </w:rPr>
        <w:t xml:space="preserve">Form responses (17).xlsx</w:t>
      </w:r>
      <w:r>
        <w:t xml:space="preserve"> </w:t>
      </w:r>
      <w:r>
        <w:t xml:space="preserve">(one row per participant); the completed study collected 17 participants.</w:t>
      </w:r>
    </w:p>
    <w:p>
      <w:pPr>
        <w:pStyle w:val="Heading2"/>
      </w:pPr>
      <w:bookmarkStart w:id="25" w:name="bias-controls"/>
      <w:r>
        <w:t xml:space="preserve">Bias controls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Reveal B only after A is rated (prevents anchoring).</w:t>
      </w:r>
    </w:p>
    <w:p>
      <w:pPr>
        <w:numPr>
          <w:ilvl w:val="0"/>
          <w:numId w:val="1003"/>
        </w:numPr>
        <w:pStyle w:val="Compact"/>
      </w:pPr>
      <w:r>
        <w:t xml:space="preserve">Randomise item order across participants (shuffle the 8 items).</w:t>
      </w:r>
    </w:p>
    <w:p>
      <w:pPr>
        <w:numPr>
          <w:ilvl w:val="0"/>
          <w:numId w:val="1003"/>
        </w:numPr>
        <w:pStyle w:val="Compact"/>
      </w:pPr>
      <w:r>
        <w:t xml:space="preserve">Tell participants there are no right/wrong answers and the tool — not they — is under evaluation.</w:t>
      </w:r>
    </w:p>
    <w:p>
      <w:pPr>
        <w:numPr>
          <w:ilvl w:val="0"/>
          <w:numId w:val="1003"/>
        </w:numPr>
        <w:pStyle w:val="Compact"/>
      </w:pPr>
      <w:r>
        <w:t xml:space="preserve">Keep the two conditions visually parallel (same claim sentence; B only</w:t>
      </w:r>
      <w:r>
        <w:t xml:space="preserve"> </w:t>
      </w:r>
      <w:r>
        <w:rPr>
          <w:i/>
        </w:rPr>
        <w:t xml:space="preserve">adds</w:t>
      </w:r>
      <w:r>
        <w:t xml:space="preserve"> </w:t>
      </w:r>
      <w:r>
        <w:t xml:space="preserve">evidence).</w:t>
      </w:r>
    </w:p>
    <w:p>
      <w:pPr>
        <w:pStyle w:val="Heading2"/>
      </w:pPr>
      <w:bookmarkStart w:id="26" w:name="analysis"/>
      <w:r>
        <w:t xml:space="preserve">Analysis</w:t>
      </w:r>
      <w:bookmarkEnd w:id="26"/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analyze_expert_study.py</w:t>
      </w:r>
      <w:r>
        <w:t xml:space="preserve"> </w:t>
      </w:r>
      <w:r>
        <w:t xml:space="preserve">in this folder. It computes descriptive stats, a Wilcoxon</w:t>
      </w:r>
      <w:r>
        <w:t xml:space="preserve"> </w:t>
      </w:r>
      <w:r>
        <w:t xml:space="preserve">signed-rank test (B vs A) for Trust and Completeness, an exact sign test, the rank-biserial effect size,</w:t>
      </w:r>
      <w:r>
        <w:t xml:space="preserve"> </w:t>
      </w:r>
      <w:r>
        <w:t xml:space="preserve">and a binomial test on preference, and writes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, which reports the Section 7.6 statistics (participant-level, n = 17).</w:t>
      </w:r>
    </w:p>
    <w:p>
      <w:pPr>
        <w:pStyle w:val="Heading2"/>
      </w:pPr>
      <w:bookmarkStart w:id="27" w:name="ethics-consent"/>
      <w:r>
        <w:t xml:space="preserve">Ethics / consent</w:t>
      </w:r>
      <w:bookmarkEnd w:id="27"/>
    </w:p>
    <w:p>
      <w:pPr>
        <w:pStyle w:val="FirstParagraph"/>
      </w:pPr>
      <w:r>
        <w:t xml:space="preserve">The packet’s first page is a short anonymous-consent block (18+, voluntary, aggregate reporting, no</w:t>
      </w:r>
      <w:r>
        <w:t xml:space="preserve"> </w:t>
      </w:r>
      <w:r>
        <w:t xml:space="preserve">personal identifiers). For a formal submission, obtain your institution’s ethics/IRB clearance or an</w:t>
      </w:r>
      <w:r>
        <w:t xml:space="preserve"> </w:t>
      </w:r>
      <w:r>
        <w:t xml:space="preserve">exemption before running; keep signed/── ticked consent pages on file. No sensitive personal data is</w:t>
      </w:r>
      <w:r>
        <w:t xml:space="preserve"> </w:t>
      </w:r>
      <w:r>
        <w:t xml:space="preserve">collected.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2026-07-26T01:02:51Z</dcterms:created>
  <dcterms:modified xsi:type="dcterms:W3CDTF">2026-07-26T01:02:51Z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