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322a34cf04fec2afd1d496ab905afe7167b0e3"/>
      <w:r>
        <w:t xml:space="preserve">OntoKG-EQ Expert Study (§7.6) — completed study + reproduction</w:t>
      </w:r>
      <w:bookmarkEnd w:id="20"/>
    </w:p>
    <w:p>
      <w:pPr>
        <w:pStyle w:val="FirstParagraph"/>
      </w:pPr>
      <w:r>
        <w:t xml:space="preserve">This directory contains the</w:t>
      </w:r>
      <w:r>
        <w:t xml:space="preserve"> </w:t>
      </w:r>
      <w:r>
        <w:rPr>
          <w:b/>
        </w:rPr>
        <w:t xml:space="preserve">completed</w:t>
      </w:r>
      <w:r>
        <w:t xml:space="preserve"> </w:t>
      </w:r>
      <w:r>
        <w:t xml:space="preserve">human-utility study reported in §7.6 of the manuscript</w:t>
      </w:r>
      <w:r>
        <w:t xml:space="preserve"> </w:t>
      </w:r>
      <w:r>
        <w:t xml:space="preserve">(within-subject design, n = 17 participants with a finance background), together with everything needed</w:t>
      </w:r>
      <w:r>
        <w:t xml:space="preserve"> </w:t>
      </w:r>
      <w:r>
        <w:t xml:space="preserve">to regenerate its statistics. The study has already been run; nothing here requires new participants.</w:t>
      </w:r>
    </w:p>
    <w:p>
      <w:pPr>
        <w:pStyle w:val="Heading2"/>
      </w:pPr>
      <w:bookmarkStart w:id="21" w:name="files"/>
      <w:r>
        <w:t xml:space="preserve">Files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responses (17).xlsx</w:t>
            </w:r>
          </w:p>
        </w:tc>
        <w:tc>
          <w:p>
            <w:pPr>
              <w:pStyle w:val="Compact"/>
              <w:jc w:val="left"/>
            </w:pPr>
            <w:r>
              <w:t xml:space="preserve">Raw anonymous Google Form export — the 17 collected responses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response_form.xlsx</w:t>
            </w:r>
          </w:p>
        </w:tc>
        <w:tc>
          <w:p>
            <w:pPr>
              <w:pStyle w:val="Compact"/>
              <w:jc w:val="left"/>
            </w:pPr>
            <w:r>
              <w:t xml:space="preserve">The responses arranged on sheet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(input to the analysis script)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analyze_expert_study.py</w:t>
            </w:r>
          </w:p>
        </w:tc>
        <w:tc>
          <w:p>
            <w:pPr>
              <w:pStyle w:val="Compact"/>
              <w:jc w:val="left"/>
            </w:pPr>
            <w:r>
              <w:t xml:space="preserve">Recomputes the participant-level statistics and writes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results.md</w:t>
            </w:r>
          </w:p>
        </w:tc>
        <w:tc>
          <w:p>
            <w:pPr>
              <w:pStyle w:val="Compact"/>
              <w:jc w:val="left"/>
            </w:pPr>
            <w:r>
              <w:t xml:space="preserve">The regenerated statistics, as reported in §7.6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facilitator_protocol.docx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p>
            <w:pPr>
              <w:pStyle w:val="Compact"/>
              <w:jc w:val="left"/>
            </w:pPr>
            <w:r>
              <w:t xml:space="preserve">The protocol used: design, procedure, bias controls, ethics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participant_packet.docx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p>
            <w:pPr>
              <w:pStyle w:val="Compact"/>
              <w:jc w:val="left"/>
            </w:pPr>
            <w:r>
              <w:t xml:space="preserve">Consent + instructions + the 8 A/B items + rating grids given to participants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stimuli.json</w:t>
            </w:r>
          </w:p>
        </w:tc>
        <w:tc>
          <w:p>
            <w:pPr>
              <w:pStyle w:val="Compact"/>
              <w:jc w:val="left"/>
            </w:pPr>
            <w:r>
              <w:t xml:space="preserve">The 8 A/B items as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google_form/</w:t>
            </w:r>
          </w:p>
        </w:tc>
        <w:tc>
          <w:p>
            <w:pPr>
              <w:pStyle w:val="Compact"/>
              <w:jc w:val="left"/>
            </w:pPr>
            <w:r>
              <w:t xml:space="preserve">The Google Form definition used to collect the responses</w:t>
            </w:r>
          </w:p>
        </w:tc>
      </w:tr>
    </w:tbl>
    <w:p>
      <w:pPr>
        <w:pStyle w:val="Heading2"/>
      </w:pPr>
      <w:bookmarkStart w:id="22" w:name="reproduce-the-reported-statistics"/>
      <w:r>
        <w:t xml:space="preserve">Reproduce the reported statistics</w:t>
      </w:r>
      <w:bookmarkEnd w:id="22"/>
    </w:p>
    <w:p>
      <w:pPr>
        <w:pStyle w:val="SourceCode"/>
      </w:pPr>
      <w:r>
        <w:rPr>
          <w:rStyle w:val="VerbatimChar"/>
        </w:rPr>
        <w:t xml:space="preserve">pip install openpyxl</w:t>
      </w:r>
      <w:r>
        <w:br/>
      </w:r>
      <w:r>
        <w:rPr>
          <w:rStyle w:val="VerbatimChar"/>
        </w:rPr>
        <w:t xml:space="preserve">python analyze_expert_study.py      # reads response_form.xlsx (sheet 'Data'), writes results.md</w:t>
      </w:r>
    </w:p>
    <w:p>
      <w:pPr>
        <w:pStyle w:val="FirstParagraph"/>
      </w:pPr>
      <w:r>
        <w:t xml:space="preserve">Then compare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with §7.6. Expected values (participant-level, n = 17): trust +2.87</w:t>
      </w:r>
      <w:r>
        <w:t xml:space="preserve"> </w:t>
      </w:r>
      <w:r>
        <w:t xml:space="preserve">(Wilcoxon p ≈ 5×10⁻⁴, n = 17); completeness +3.35 (p ≈ 6×10⁻⁴, n = 16 non-zero pairs — one participant</w:t>
      </w:r>
      <w:r>
        <w:t xml:space="preserve"> </w:t>
      </w:r>
      <w:r>
        <w:t xml:space="preserve">rated completeness identically for both versions, a zero difference the signed-rank test excludes); and</w:t>
      </w:r>
      <w:r>
        <w:t xml:space="preserve"> </w:t>
      </w:r>
      <w:r>
        <w:t xml:space="preserve">16/17 participants preferring the evidence-grounded version on all eight items (sign test p ≈ 1.5×10⁻⁵).</w:t>
      </w:r>
    </w:p>
    <w:p>
      <w:pPr>
        <w:pStyle w:val="Heading2"/>
      </w:pPr>
      <w:bookmarkStart w:id="23" w:name="design-as-run"/>
      <w:r>
        <w:t xml:space="preserve">Design (as run)</w:t>
      </w:r>
      <w:bookmarkEnd w:id="23"/>
    </w:p>
    <w:p>
      <w:pPr>
        <w:pStyle w:val="FirstParagraph"/>
      </w:pPr>
      <w:r>
        <w:t xml:space="preserve">Each participant gave voluntary opt-in consent, rated Version A (result-only note), then rated Version B</w:t>
      </w:r>
      <w:r>
        <w:t xml:space="preserve"> </w:t>
      </w:r>
      <w:r>
        <w:t xml:space="preserve">(the same statement with its provenance-grounded evidence bundle) and chose a preference (~20–30 min per</w:t>
      </w:r>
      <w:r>
        <w:t xml:space="preserve"> </w:t>
      </w:r>
      <w:r>
        <w:t xml:space="preserve">participant). Ratings used ad-hoc 7-point trust and justification-completeness items. Analysis is at the</w:t>
      </w:r>
      <w:r>
        <w:t xml:space="preserve"> </w:t>
      </w:r>
      <w:r>
        <w:rPr>
          <w:b/>
        </w:rPr>
        <w:t xml:space="preserve">participant level</w:t>
      </w:r>
      <w:r>
        <w:t xml:space="preserve"> </w:t>
      </w:r>
      <w:r>
        <w:t xml:space="preserve">(each participant contributes one mean per condition) to avoid pseudoreplicating the</w:t>
      </w:r>
      <w:r>
        <w:t xml:space="preserve"> </w:t>
      </w:r>
      <w:r>
        <w:t xml:space="preserve">136 nested item ratings. Caveats — single-session convenience panel, A-before-B information/order effect,</w:t>
      </w:r>
      <w:r>
        <w:t xml:space="preserve"> </w:t>
      </w:r>
      <w:r>
        <w:t xml:space="preserve">and a counterbalanced three-condition replication as future work — are stated in §7.6 and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</w:t>
      </w:r>
    </w:p>
    <w:p>
      <w:pPr>
        <w:pStyle w:val="Heading2"/>
      </w:pPr>
      <w:bookmarkStart w:id="24" w:name="what-it-measures"/>
      <w:r>
        <w:t xml:space="preserve">What it measures</w:t>
      </w:r>
      <w:bookmarkEnd w:id="24"/>
    </w:p>
    <w:p>
      <w:pPr>
        <w:pStyle w:val="FirstParagraph"/>
      </w:pPr>
      <w:r>
        <w:t xml:space="preserve">Whether provenance-grounded explanations improve analyst trust and perceived completeness over</w:t>
      </w:r>
      <w:r>
        <w:t xml:space="preserve"> </w:t>
      </w:r>
      <w:r>
        <w:t xml:space="preserve">result-only notes, turning the structural transcription-consistency guarantee into a measured</w:t>
      </w:r>
      <w:r>
        <w:t xml:space="preserve"> </w:t>
      </w:r>
      <w:r>
        <w:t xml:space="preserve">human-utility result. It is optional for pipeline reproduction; the pipeline and its results stand</w:t>
      </w:r>
      <w:r>
        <w:t xml:space="preserve"> </w:t>
      </w:r>
      <w:r>
        <w:t xml:space="preserve">without it.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2026-07-26T00:32:48Z</dcterms:created>
  <dcterms:modified xsi:type="dcterms:W3CDTF">2026-07-26T00:32:48Z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