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4264F"/>
          <w:sz w:val="32"/>
        </w:rPr>
        <w:t>A Systematic Literature Review Protocol for Testing and Regression Testing of Quantum Software Compilers</w:t>
      </w:r>
    </w:p>
    <w:p>
      <w:pPr>
        <w:jc w:val="center"/>
      </w:pPr>
      <w:r>
        <w:rPr>
          <w:b/>
          <w:sz w:val="24"/>
        </w:rPr>
        <w:t>Furqan Nasir, Arif Shah, Iftikhar Alam</w:t>
      </w:r>
    </w:p>
    <w:p>
      <w:pPr>
        <w:jc w:val="center"/>
      </w:pPr>
      <w:r>
        <w:rPr>
          <w:i/>
          <w:sz w:val="21"/>
        </w:rPr>
        <w:t>Department of Computer Science, City University of Science &amp; Information Technology, Peshawar, Pakistan</w:t>
      </w:r>
    </w:p>
    <w:p>
      <w:r>
        <w:rPr>
          <w:rFonts w:ascii="Times New Roman" w:hAnsi="Times New Roman"/>
          <w:b/>
          <w:color w:val="14264F"/>
          <w:sz w:val="26"/>
        </w:rPr>
        <w:t>Abstract</w:t>
      </w:r>
    </w:p>
    <w:p>
      <w:pPr>
        <w:spacing w:line="276" w:lineRule="auto"/>
        <w:jc w:val="both"/>
      </w:pPr>
      <w:r>
        <w:rPr>
          <w:rFonts w:ascii="Times New Roman" w:hAnsi="Times New Roman"/>
          <w:sz w:val="24"/>
        </w:rPr>
        <w:t>Quantum software development kits such as Qiskit change constantly, and the transpiler, the component that rewrites an abstract circuit onto real hardware, is one of the parts that changes most. When a single compilation pass is altered it can introduce a regression: the compiled circuit may return a wrong result, or it may still be correct but larger, or simply slower to produce. Judging whether a compiled circuit is correct is itself hard, an instance of the quantum oracle problem, and the community has no consolidated picture of how quantum compilers are tested, still less how they are regression-tested. This paper sets out a protocol for a Systematic Literature Review (SLR) of that area, following Kitchenham's guidelines and the PRISMA reporting standard. It states the research questions and objectives, the databases to be searched, the search strategy, the inclusion, exclusion, and quality-assessment criteria, the data to be extracted, and the way studies will be selected and synthesised. The aim is a reproducible map of the field that can ground later work on testing the quantum compiler in a way that is both trustworthy and affordable. The protocol is registered in the Open Science Framework; it uses two independent reviewers with a measured level of agreement, a thematic plan for synthesising the evidence, and an explicit analysis of threats to validity.</w:t>
      </w:r>
    </w:p>
    <w:p>
      <w:r>
        <w:rPr>
          <w:b/>
          <w:sz w:val="22"/>
        </w:rPr>
        <w:t xml:space="preserve">Keywords: </w:t>
      </w:r>
      <w:r>
        <w:rPr>
          <w:i/>
          <w:sz w:val="22"/>
        </w:rPr>
        <w:t>Quantum software testing, Quantum compiler, Transpiler, Regression testing, Test oracle, Equivalence checking, Systematic Literature Review Protocol (SLRP), Qiskit.</w:t>
      </w:r>
    </w:p>
    <w:p>
      <w:r>
        <w:rPr>
          <w:rFonts w:ascii="Times New Roman" w:hAnsi="Times New Roman"/>
          <w:b/>
          <w:color w:val="14264F"/>
          <w:sz w:val="26"/>
        </w:rPr>
        <w:t>I.  Introduction</w:t>
      </w:r>
    </w:p>
    <w:p>
      <w:pPr>
        <w:spacing w:line="276" w:lineRule="auto"/>
        <w:jc w:val="both"/>
      </w:pPr>
      <w:r>
        <w:rPr>
          <w:rFonts w:ascii="Times New Roman" w:hAnsi="Times New Roman"/>
          <w:b w:val="0"/>
          <w:sz w:val="24"/>
        </w:rPr>
        <w:t>Quantum computing has moved from theory to practice, and much of that practice is mediated by software development kits (SDKs) such as Qiskit, Cirq, and tket. Before a quantum program can run on real hardware, it must be rewritten to respect the machine's native gate set and its limited qubit connectivity. In Qiskit [10] this rewriting is performed by the transpiler, a staged compiler whose passes carry out layout, routing, translation, optimisation, and scheduling. These SDKs evolve at a rapid and continuous pace, and the transpiler is among the most frequently revised components.</w:t>
      </w:r>
    </w:p>
    <w:p>
      <w:pPr>
        <w:spacing w:line="276" w:lineRule="auto"/>
        <w:jc w:val="both"/>
      </w:pPr>
      <w:r>
        <w:rPr>
          <w:rFonts w:ascii="Times New Roman" w:hAnsi="Times New Roman"/>
          <w:sz w:val="24"/>
        </w:rPr>
        <w:t>A change to any pass can introduce a regression, and these come in a few forms. The compiled circuit may compute a different result or crash outright; it may still be correct yet carry more two-qubit gates or greater depth, losing fidelity on noisy hardware; or it may simply take longer or use more memory to produce. Catching such regressions early is a testing problem, but the quantum oracle problem makes it awkward: deciding whether a compiled circuit is correct is expensive, and for the black-box output-equivalence oracle the field usually relies on, some faults cannot be seen at all.</w:t>
      </w:r>
    </w:p>
    <w:p>
      <w:pPr>
        <w:spacing w:line="276" w:lineRule="auto"/>
        <w:jc w:val="both"/>
      </w:pPr>
      <w:r>
        <w:rPr>
          <w:rFonts w:ascii="Times New Roman" w:hAnsi="Times New Roman"/>
          <w:sz w:val="24"/>
        </w:rPr>
        <w:t>Testing of quantum software, and of quantum compilers in particular, is now an active area, with work on metamorphic testing, differential testing, property-based testing, equivalence checking, and formal verification. That work is scattered across communities, though, and no one has yet drawn it together into a systematic view of how the quantum compiler is tested, or especially how it is regression-tested. This paper therefore lays out an SLR protocol, following Kitchenham [1] and PRISMA [2], to plan such a review rigorously and reproducibly.</w:t>
      </w:r>
    </w:p>
    <w:p>
      <w:pPr>
        <w:spacing w:line="276" w:lineRule="auto"/>
        <w:jc w:val="both"/>
      </w:pPr>
      <w:r>
        <w:rPr>
          <w:rFonts w:ascii="Times New Roman" w:hAnsi="Times New Roman"/>
          <w:b w:val="0"/>
          <w:i w:val="0"/>
          <w:color w:val="20242C"/>
          <w:sz w:val="24"/>
        </w:rPr>
        <w:t>The primary contributions of this protocol are:</w:t>
      </w:r>
    </w:p>
    <w:p>
      <w:pPr>
        <w:ind w:left="432"/>
      </w:pPr>
      <w:r>
        <w:rPr>
          <w:rFonts w:ascii="Times New Roman" w:hAnsi="Times New Roman"/>
          <w:color w:val="20242C"/>
          <w:sz w:val="23"/>
        </w:rPr>
        <w:t>•  To identify and classify the testing techniques proposed for quantum software compilers.</w:t>
      </w:r>
    </w:p>
    <w:p>
      <w:pPr>
        <w:ind w:left="432"/>
      </w:pPr>
      <w:r>
        <w:rPr>
          <w:rFonts w:ascii="Times New Roman" w:hAnsi="Times New Roman"/>
          <w:color w:val="20242C"/>
          <w:sz w:val="23"/>
        </w:rPr>
        <w:t>•  To analyse the correctness oracles used for compiled quantum circuits and their limitations.</w:t>
      </w:r>
    </w:p>
    <w:p>
      <w:pPr>
        <w:ind w:left="432"/>
      </w:pPr>
      <w:r>
        <w:rPr>
          <w:rFonts w:ascii="Times New Roman" w:hAnsi="Times New Roman"/>
          <w:color w:val="20242C"/>
          <w:sz w:val="23"/>
        </w:rPr>
        <w:t>•  To assess how regression testing, including test selection and prioritisation, is addressed for quantum compilers.</w:t>
      </w:r>
    </w:p>
    <w:p>
      <w:pPr>
        <w:ind w:left="432"/>
      </w:pPr>
      <w:r>
        <w:rPr>
          <w:rFonts w:ascii="Times New Roman" w:hAnsi="Times New Roman"/>
          <w:color w:val="20242C"/>
          <w:sz w:val="23"/>
        </w:rPr>
        <w:t>•  To catalogue the benchmarks, datasets, and tools used to evaluate quantum-compiler testing.</w:t>
      </w:r>
    </w:p>
    <w:p>
      <w:pPr>
        <w:ind w:left="432"/>
      </w:pPr>
      <w:r>
        <w:rPr>
          <w:rFonts w:ascii="Times New Roman" w:hAnsi="Times New Roman"/>
          <w:color w:val="20242C"/>
          <w:sz w:val="23"/>
        </w:rPr>
        <w:t>•  To synthesise the open challenges and research gaps that motivate future work.</w:t>
      </w:r>
    </w:p>
    <w:p>
      <w:pPr>
        <w:spacing w:line="276" w:lineRule="auto"/>
        <w:jc w:val="both"/>
      </w:pPr>
      <w:r>
        <w:rPr>
          <w:rFonts w:ascii="Times New Roman" w:hAnsi="Times New Roman"/>
          <w:b w:val="0"/>
          <w:i w:val="0"/>
          <w:color w:val="20242C"/>
          <w:sz w:val="24"/>
        </w:rPr>
        <w:t>The rest of the paper is organised as follows. Section II gives the background on quantum compilation and testing and reviews the related work. Section III presents the research method, comprising the research questions, objectives, data sources, search strategy, study-selection process, quality assessment, and data extraction. Section IV concludes and outlines the expected outcomes of the review.</w:t>
      </w:r>
    </w:p>
    <w:p>
      <w:r>
        <w:rPr>
          <w:rFonts w:ascii="Times New Roman" w:hAnsi="Times New Roman"/>
          <w:b/>
          <w:color w:val="14264F"/>
          <w:sz w:val="26"/>
        </w:rPr>
        <w:t>II.  Background</w:t>
      </w:r>
    </w:p>
    <w:p>
      <w:pPr>
        <w:spacing w:line="276" w:lineRule="auto"/>
        <w:jc w:val="both"/>
      </w:pPr>
      <w:r>
        <w:rPr>
          <w:rFonts w:ascii="Times New Roman" w:hAnsi="Times New Roman"/>
          <w:b w:val="0"/>
          <w:i w:val="0"/>
          <w:color w:val="20242C"/>
          <w:sz w:val="24"/>
        </w:rPr>
        <w:t>Quantum compilation transforms an abstract, hardware-agnostic quantum circuit into an equivalent circuit that a specific device can execute. In a staged pass manager, layout assigns program qubits to physical qubits, routing inserts operations to satisfy the coupling map, translation rewrites gates into the native basis, optimisation reduces gate count and depth, and scheduling places operations in time. Because the passes that actually run depend on the circuit, the backend, the configuration, and the exact SDK revision, and because compilation may permute qubits, a compiled circuit equals the original only up to a permutation of the qubit layout and a global phase. This makes correctness checking subtle and expensive.</w:t>
      </w:r>
    </w:p>
    <w:p>
      <w:pPr>
        <w:spacing w:line="276" w:lineRule="auto"/>
        <w:jc w:val="both"/>
      </w:pPr>
      <w:r>
        <w:rPr>
          <w:rFonts w:ascii="Times New Roman" w:hAnsi="Times New Roman"/>
          <w:sz w:val="24"/>
        </w:rPr>
        <w:t>Deciding whether two circuits are equivalent is itself an instance of the quantum oracle problem. Exact unitary comparison does not scale past small circuits, so in practice the field falls back on sampled, observable, metamorphic, or structural checks that trade completeness for tractability. The de-facto criterion, a black-box output-equivalence oracle, looks only at the output map; it can therefore pass a circuit whose internal compiler state has been corrupted, as long as the output still matches. Difficulties of this kind are what make a systematic look at compiler testing worthwhile.</w:t>
      </w:r>
    </w:p>
    <w:p>
      <w:pPr>
        <w:spacing w:line="276" w:lineRule="auto"/>
      </w:pPr>
      <w:r>
        <w:rPr>
          <w:rFonts w:ascii="Times New Roman" w:hAnsi="Times New Roman"/>
          <w:b/>
          <w:i w:val="0"/>
          <w:color w:val="20242C"/>
          <w:sz w:val="24"/>
        </w:rPr>
        <w:t>Related work.</w:t>
      </w:r>
    </w:p>
    <w:p>
      <w:pPr>
        <w:spacing w:line="276" w:lineRule="auto"/>
        <w:jc w:val="both"/>
      </w:pPr>
      <w:r>
        <w:rPr>
          <w:rFonts w:ascii="Times New Roman" w:hAnsi="Times New Roman"/>
          <w:sz w:val="24"/>
        </w:rPr>
        <w:t>A number of research threads feed into this review. Empirical studies have shown that compiler and transpiler components are a significant source of defects in quantum platforms [3], [4]. Metamorphic and differential testing tools such as MorphQ [5], QDiff [7], and QSPE, together with fuzzing and equivalence-modulo-inputs approaches such as QuteFuzz [11] and QEMI [12], generate, transform, or fuzz programs to expose miscompilations; property-based tools such as QuCheck [8] bring assertions and generators to Qiskit; equivalence-checking techniques compare circuits efficiently before and after compilation [6]; formal tools such as Giallar [13] and CertiQ [14] verify individual compiler passes; and bug benchmarks such as Bugs4Q [15] collect real quantum-program faults for reuse. Classical software engineering, for its part, has a mature literature on regression test selection and prioritisation, where cost-, history-, and change-aware heuristics are well-established baselines [9]. What no one has done is pull these threads together into a systematic synthesis centred on the quantum compiler.</w:t>
      </w:r>
    </w:p>
    <w:p>
      <w:pPr>
        <w:spacing w:line="276" w:lineRule="auto"/>
      </w:pPr>
      <w:r>
        <w:rPr>
          <w:rFonts w:ascii="Times New Roman" w:hAnsi="Times New Roman"/>
          <w:b/>
          <w:i w:val="0"/>
          <w:color w:val="20242C"/>
          <w:sz w:val="24"/>
        </w:rPr>
        <w:t>Existing systematic reviews.</w:t>
      </w:r>
    </w:p>
    <w:p>
      <w:pPr>
        <w:spacing w:line="276" w:lineRule="auto"/>
        <w:jc w:val="both"/>
      </w:pPr>
      <w:r>
        <w:rPr>
          <w:rFonts w:ascii="Times New Roman" w:hAnsi="Times New Roman"/>
          <w:b w:val="0"/>
          <w:i w:val="0"/>
          <w:color w:val="20242C"/>
          <w:sz w:val="24"/>
        </w:rPr>
        <w:t>To confirm that a systematic review of this specific scope has not already been performed, we searched the electronic databases for existing secondary studies using strings such as (“quantum compiler” OR “quantum transpiler”) AND (“systematic literature review” OR “survey” OR “mapping study”) AND (testing OR “regression testing”). Existing secondary studies address quantum software testing broadly, but none focuses specifically on testing and regression testing of the quantum compiler, which confirms the need for this review.</w:t>
      </w:r>
    </w:p>
    <w:p>
      <w:r>
        <w:rPr>
          <w:rFonts w:ascii="Times New Roman" w:hAnsi="Times New Roman"/>
          <w:b/>
          <w:color w:val="14264F"/>
          <w:sz w:val="26"/>
        </w:rPr>
        <w:t>III.  Research Method</w:t>
      </w:r>
    </w:p>
    <w:p>
      <w:pPr>
        <w:spacing w:after="120"/>
        <w:jc w:val="both"/>
      </w:pPr>
      <w:r>
        <w:rPr>
          <w:rFonts w:ascii="Times New Roman" w:hAnsi="Times New Roman"/>
          <w:b w:val="0"/>
          <w:sz w:val="24"/>
        </w:rPr>
        <w:t>The research method follows the SLR guidelines of Kitchenham [1]. It comprises the research questions (Table 1), the research objectives (Table 2), the electronic data sources (Table 3), the search strategy and search terms (Table 4), the study-selection process using the inclusion/exclusion criteria (Table 5) and the study-selection flow (Figure 1), the quality-assessment checklist (Table 6), and the data-extraction form (Table 7).</w:t>
      </w:r>
    </w:p>
    <w:p>
      <w:r>
        <w:rPr>
          <w:rFonts w:ascii="Times New Roman" w:hAnsi="Times New Roman"/>
          <w:b/>
          <w:i w:val="0"/>
          <w:sz w:val="24"/>
        </w:rPr>
        <w:t>Protocol Registration and Amendments.</w:t>
      </w:r>
    </w:p>
    <w:p>
      <w:r>
        <w:rPr>
          <w:rFonts w:ascii="Times New Roman" w:hAnsi="Times New Roman"/>
          <w:sz w:val="24"/>
        </w:rPr>
        <w:t>The protocol was registered in the Open Science Framework (OSF) before the review was carried out (registration DOI: to be inserted on registration). Fixing the questions, the search, and the selection and analysis rules in advance is what later lets a reader check the finished review against its plan and see where, if anywhere, the two diverge. Should anything change while the review is under way, say a search string, an inclusion rule, or an extraction item, the change will be logged in the OSF record with its date and the reason for it, and reported in the final paper.</w:t>
      </w:r>
    </w:p>
    <w:p>
      <w:pPr>
        <w:spacing w:line="276" w:lineRule="auto"/>
      </w:pPr>
      <w:r>
        <w:rPr>
          <w:rFonts w:ascii="Times New Roman" w:hAnsi="Times New Roman"/>
          <w:b/>
          <w:i w:val="0"/>
          <w:color w:val="20242C"/>
          <w:sz w:val="24"/>
        </w:rPr>
        <w:t>Research Questions.</w:t>
      </w:r>
    </w:p>
    <w:p>
      <w:pPr>
        <w:spacing w:line="276" w:lineRule="auto"/>
        <w:jc w:val="both"/>
      </w:pPr>
      <w:r>
        <w:rPr>
          <w:rFonts w:ascii="Times New Roman" w:hAnsi="Times New Roman"/>
          <w:b w:val="0"/>
          <w:i w:val="0"/>
          <w:color w:val="20242C"/>
          <w:sz w:val="24"/>
        </w:rPr>
        <w:t>The review is organised around five research questions, shown in Table 1.</w:t>
      </w:r>
    </w:p>
    <w:p>
      <w:pPr>
        <w:jc w:val="center"/>
      </w:pPr>
      <w:r>
        <w:rPr>
          <w:rFonts w:ascii="Times New Roman" w:hAnsi="Times New Roman"/>
          <w:b/>
          <w:color w:val="20242C"/>
          <w:sz w:val="22"/>
        </w:rPr>
        <w:t>Table 1: Research Questions</w:t>
      </w:r>
    </w:p>
    <w:tbl>
      <w:tblPr>
        <w:tblStyle w:val="TableGrid"/>
        <w:tblW w:type="auto" w:w="0"/>
        <w:jc w:val="center"/>
        <w:tblLook w:firstColumn="1" w:firstRow="1" w:lastColumn="0" w:lastRow="0" w:noHBand="0" w:noVBand="1" w:val="04A0"/>
      </w:tblPr>
      <w:tblGrid>
        <w:gridCol w:w="3072"/>
        <w:gridCol w:w="3072"/>
        <w:gridCol w:w="3072"/>
      </w:tblGrid>
      <w:tr>
        <w:tc>
          <w:tcPr>
            <w:tcW w:type="dxa" w:w="864"/>
            <w:shd w:val="clear" w:fill="14264F"/>
          </w:tcPr>
          <w:p>
            <w:pPr>
              <w:spacing w:after="20"/>
            </w:pPr>
            <w:r/>
            <w:r>
              <w:rPr>
                <w:rFonts w:ascii="Times New Roman" w:hAnsi="Times New Roman"/>
                <w:b/>
                <w:color w:val="FFFFFF"/>
                <w:sz w:val="21"/>
              </w:rPr>
              <w:t>ID</w:t>
            </w:r>
          </w:p>
        </w:tc>
        <w:tc>
          <w:tcPr>
            <w:tcW w:type="dxa" w:w="4752"/>
            <w:shd w:val="clear" w:fill="14264F"/>
          </w:tcPr>
          <w:p>
            <w:pPr>
              <w:spacing w:after="20"/>
            </w:pPr>
            <w:r/>
            <w:r>
              <w:rPr>
                <w:rFonts w:ascii="Times New Roman" w:hAnsi="Times New Roman"/>
                <w:b/>
                <w:color w:val="FFFFFF"/>
                <w:sz w:val="21"/>
              </w:rPr>
              <w:t>Research Question</w:t>
            </w:r>
          </w:p>
        </w:tc>
        <w:tc>
          <w:tcPr>
            <w:tcW w:type="dxa" w:w="3744"/>
            <w:shd w:val="clear" w:fill="14264F"/>
          </w:tcPr>
          <w:p>
            <w:pPr>
              <w:spacing w:after="20"/>
            </w:pPr>
            <w:r/>
            <w:r>
              <w:rPr>
                <w:rFonts w:ascii="Times New Roman" w:hAnsi="Times New Roman"/>
                <w:b/>
                <w:color w:val="FFFFFF"/>
                <w:sz w:val="21"/>
              </w:rPr>
              <w:t>Motivation</w:t>
            </w:r>
          </w:p>
        </w:tc>
      </w:tr>
      <w:tr>
        <w:tc>
          <w:tcPr>
            <w:tcW w:type="dxa" w:w="864"/>
          </w:tcPr>
          <w:p>
            <w:pPr>
              <w:spacing w:after="20"/>
            </w:pPr>
            <w:r/>
            <w:r>
              <w:rPr>
                <w:rFonts w:ascii="Times New Roman" w:hAnsi="Times New Roman"/>
                <w:color w:val="20242C"/>
                <w:sz w:val="21"/>
              </w:rPr>
              <w:t>RQ1</w:t>
            </w:r>
          </w:p>
        </w:tc>
        <w:tc>
          <w:tcPr>
            <w:tcW w:type="dxa" w:w="4752"/>
          </w:tcPr>
          <w:p>
            <w:pPr>
              <w:spacing w:after="20"/>
            </w:pPr>
            <w:r/>
            <w:r>
              <w:rPr>
                <w:rFonts w:ascii="Times New Roman" w:hAnsi="Times New Roman"/>
                <w:color w:val="20242C"/>
                <w:sz w:val="21"/>
              </w:rPr>
              <w:t>What testing techniques have been proposed for quantum software compilers (transpilers)?</w:t>
            </w:r>
          </w:p>
        </w:tc>
        <w:tc>
          <w:tcPr>
            <w:tcW w:type="dxa" w:w="3744"/>
          </w:tcPr>
          <w:p>
            <w:pPr>
              <w:spacing w:after="20"/>
            </w:pPr>
            <w:r/>
            <w:r>
              <w:rPr>
                <w:rFonts w:ascii="Times New Roman" w:hAnsi="Times New Roman"/>
                <w:color w:val="20242C"/>
                <w:sz w:val="21"/>
              </w:rPr>
              <w:t>To identify and classify the landscape of quantum-compiler testing approaches.</w:t>
            </w:r>
          </w:p>
        </w:tc>
      </w:tr>
      <w:tr>
        <w:tc>
          <w:tcPr>
            <w:tcW w:type="dxa" w:w="864"/>
          </w:tcPr>
          <w:p>
            <w:pPr>
              <w:spacing w:after="20"/>
            </w:pPr>
            <w:r/>
            <w:r>
              <w:rPr>
                <w:rFonts w:ascii="Times New Roman" w:hAnsi="Times New Roman"/>
                <w:color w:val="20242C"/>
                <w:sz w:val="21"/>
              </w:rPr>
              <w:t>RQ2</w:t>
            </w:r>
          </w:p>
        </w:tc>
        <w:tc>
          <w:tcPr>
            <w:tcW w:type="dxa" w:w="4752"/>
          </w:tcPr>
          <w:p>
            <w:pPr>
              <w:spacing w:after="20"/>
            </w:pPr>
            <w:r/>
            <w:r>
              <w:rPr>
                <w:rFonts w:ascii="Times New Roman" w:hAnsi="Times New Roman"/>
                <w:color w:val="20242C"/>
                <w:sz w:val="21"/>
              </w:rPr>
              <w:t>What correctness oracles are used for compiled quantum circuits, and what are their limitations?</w:t>
            </w:r>
          </w:p>
        </w:tc>
        <w:tc>
          <w:tcPr>
            <w:tcW w:type="dxa" w:w="3744"/>
          </w:tcPr>
          <w:p>
            <w:pPr>
              <w:spacing w:after="20"/>
            </w:pPr>
            <w:r/>
            <w:r>
              <w:rPr>
                <w:rFonts w:ascii="Times New Roman" w:hAnsi="Times New Roman"/>
                <w:color w:val="20242C"/>
                <w:sz w:val="21"/>
              </w:rPr>
              <w:t>To understand how correctness is decided and where the oracles fall short.</w:t>
            </w:r>
          </w:p>
        </w:tc>
      </w:tr>
      <w:tr>
        <w:tc>
          <w:tcPr>
            <w:tcW w:type="dxa" w:w="864"/>
          </w:tcPr>
          <w:p>
            <w:pPr>
              <w:spacing w:after="20"/>
            </w:pPr>
            <w:r/>
            <w:r>
              <w:rPr>
                <w:rFonts w:ascii="Times New Roman" w:hAnsi="Times New Roman"/>
                <w:color w:val="20242C"/>
                <w:sz w:val="21"/>
              </w:rPr>
              <w:t>RQ3</w:t>
            </w:r>
          </w:p>
        </w:tc>
        <w:tc>
          <w:tcPr>
            <w:tcW w:type="dxa" w:w="4752"/>
          </w:tcPr>
          <w:p>
            <w:pPr>
              <w:spacing w:after="20"/>
            </w:pPr>
            <w:r/>
            <w:r>
              <w:rPr>
                <w:rFonts w:ascii="Times New Roman" w:hAnsi="Times New Roman"/>
                <w:color w:val="20242C"/>
                <w:sz w:val="21"/>
              </w:rPr>
              <w:t>How is regression testing, including test selection and prioritisation, addressed for quantum compilers?</w:t>
            </w:r>
          </w:p>
        </w:tc>
        <w:tc>
          <w:tcPr>
            <w:tcW w:type="dxa" w:w="3744"/>
          </w:tcPr>
          <w:p>
            <w:pPr>
              <w:spacing w:after="20"/>
            </w:pPr>
            <w:r/>
            <w:r>
              <w:rPr>
                <w:rFonts w:ascii="Times New Roman" w:hAnsi="Times New Roman"/>
                <w:color w:val="20242C"/>
                <w:sz w:val="21"/>
              </w:rPr>
              <w:t>To determine whether budgeted regression testing exists for the compiler.</w:t>
            </w:r>
          </w:p>
        </w:tc>
      </w:tr>
      <w:tr>
        <w:tc>
          <w:tcPr>
            <w:tcW w:type="dxa" w:w="864"/>
          </w:tcPr>
          <w:p>
            <w:pPr>
              <w:spacing w:after="20"/>
            </w:pPr>
            <w:r/>
            <w:r>
              <w:rPr>
                <w:rFonts w:ascii="Times New Roman" w:hAnsi="Times New Roman"/>
                <w:color w:val="20242C"/>
                <w:sz w:val="21"/>
              </w:rPr>
              <w:t>RQ4</w:t>
            </w:r>
          </w:p>
        </w:tc>
        <w:tc>
          <w:tcPr>
            <w:tcW w:type="dxa" w:w="4752"/>
          </w:tcPr>
          <w:p>
            <w:pPr>
              <w:spacing w:after="20"/>
            </w:pPr>
            <w:r/>
            <w:r>
              <w:rPr>
                <w:rFonts w:ascii="Times New Roman" w:hAnsi="Times New Roman"/>
                <w:color w:val="20242C"/>
                <w:sz w:val="21"/>
              </w:rPr>
              <w:t>What benchmarks, datasets, and tools support the evaluation of quantum-compiler testing?</w:t>
            </w:r>
          </w:p>
        </w:tc>
        <w:tc>
          <w:tcPr>
            <w:tcW w:type="dxa" w:w="3744"/>
          </w:tcPr>
          <w:p>
            <w:pPr>
              <w:spacing w:after="20"/>
            </w:pPr>
            <w:r/>
            <w:r>
              <w:rPr>
                <w:rFonts w:ascii="Times New Roman" w:hAnsi="Times New Roman"/>
                <w:color w:val="20242C"/>
                <w:sz w:val="21"/>
              </w:rPr>
              <w:t>To catalogue the evaluation infrastructure available to researchers.</w:t>
            </w:r>
          </w:p>
        </w:tc>
      </w:tr>
      <w:tr>
        <w:tc>
          <w:tcPr>
            <w:tcW w:type="dxa" w:w="864"/>
          </w:tcPr>
          <w:p>
            <w:pPr>
              <w:spacing w:after="20"/>
            </w:pPr>
            <w:r/>
            <w:r>
              <w:rPr>
                <w:rFonts w:ascii="Times New Roman" w:hAnsi="Times New Roman"/>
                <w:color w:val="20242C"/>
                <w:sz w:val="21"/>
              </w:rPr>
              <w:t>RQ5</w:t>
            </w:r>
          </w:p>
        </w:tc>
        <w:tc>
          <w:tcPr>
            <w:tcW w:type="dxa" w:w="4752"/>
          </w:tcPr>
          <w:p>
            <w:pPr>
              <w:spacing w:after="20"/>
            </w:pPr>
            <w:r/>
            <w:r>
              <w:rPr>
                <w:rFonts w:ascii="Times New Roman" w:hAnsi="Times New Roman"/>
                <w:color w:val="20242C"/>
                <w:sz w:val="21"/>
              </w:rPr>
              <w:t>What are the open challenges and research gaps in testing quantum compilers?</w:t>
            </w:r>
          </w:p>
        </w:tc>
        <w:tc>
          <w:tcPr>
            <w:tcW w:type="dxa" w:w="3744"/>
          </w:tcPr>
          <w:p>
            <w:pPr>
              <w:spacing w:after="20"/>
            </w:pPr>
            <w:r/>
            <w:r>
              <w:rPr>
                <w:rFonts w:ascii="Times New Roman" w:hAnsi="Times New Roman"/>
                <w:color w:val="20242C"/>
                <w:sz w:val="21"/>
              </w:rPr>
              <w:t>To surface directions for future research.</w:t>
            </w:r>
          </w:p>
        </w:tc>
      </w:tr>
    </w:tbl>
    <w:p/>
    <w:p>
      <w:pPr>
        <w:spacing w:line="276" w:lineRule="auto"/>
      </w:pPr>
      <w:r>
        <w:rPr>
          <w:rFonts w:ascii="Times New Roman" w:hAnsi="Times New Roman"/>
          <w:b/>
          <w:i w:val="0"/>
          <w:color w:val="20242C"/>
          <w:sz w:val="24"/>
        </w:rPr>
        <w:t>Research Objectives.</w:t>
      </w:r>
    </w:p>
    <w:p>
      <w:pPr>
        <w:spacing w:line="276" w:lineRule="auto"/>
        <w:jc w:val="both"/>
      </w:pPr>
      <w:r>
        <w:rPr>
          <w:rFonts w:ascii="Times New Roman" w:hAnsi="Times New Roman"/>
          <w:b w:val="0"/>
          <w:i w:val="0"/>
          <w:color w:val="20242C"/>
          <w:sz w:val="24"/>
        </w:rPr>
        <w:t>The objectives, mapped one-to-one to the research questions, are shown in Table 2.</w:t>
      </w:r>
    </w:p>
    <w:p>
      <w:pPr>
        <w:jc w:val="center"/>
      </w:pPr>
      <w:r>
        <w:rPr>
          <w:rFonts w:ascii="Times New Roman" w:hAnsi="Times New Roman"/>
          <w:b/>
          <w:color w:val="20242C"/>
          <w:sz w:val="22"/>
        </w:rPr>
        <w:t>Table 2: Research Objectives</w:t>
      </w:r>
    </w:p>
    <w:tbl>
      <w:tblPr>
        <w:tblStyle w:val="TableGrid"/>
        <w:tblW w:type="auto" w:w="0"/>
        <w:jc w:val="center"/>
        <w:tblLook w:firstColumn="1" w:firstRow="1" w:lastColumn="0" w:lastRow="0" w:noHBand="0" w:noVBand="1" w:val="04A0"/>
      </w:tblPr>
      <w:tblGrid>
        <w:gridCol w:w="4608"/>
        <w:gridCol w:w="4608"/>
      </w:tblGrid>
      <w:tr>
        <w:tc>
          <w:tcPr>
            <w:tcW w:type="dxa" w:w="864"/>
            <w:shd w:val="clear" w:fill="14264F"/>
          </w:tcPr>
          <w:p>
            <w:pPr>
              <w:spacing w:after="20"/>
            </w:pPr>
            <w:r/>
            <w:r>
              <w:rPr>
                <w:rFonts w:ascii="Times New Roman" w:hAnsi="Times New Roman"/>
                <w:b/>
                <w:color w:val="FFFFFF"/>
                <w:sz w:val="21"/>
              </w:rPr>
              <w:t>ID</w:t>
            </w:r>
          </w:p>
        </w:tc>
        <w:tc>
          <w:tcPr>
            <w:tcW w:type="dxa" w:w="8496"/>
            <w:shd w:val="clear" w:fill="14264F"/>
          </w:tcPr>
          <w:p>
            <w:pPr>
              <w:spacing w:after="20"/>
            </w:pPr>
            <w:r/>
            <w:r>
              <w:rPr>
                <w:rFonts w:ascii="Times New Roman" w:hAnsi="Times New Roman"/>
                <w:b/>
                <w:color w:val="FFFFFF"/>
                <w:sz w:val="21"/>
              </w:rPr>
              <w:t>Objective (answers)</w:t>
            </w:r>
          </w:p>
        </w:tc>
      </w:tr>
      <w:tr>
        <w:tc>
          <w:tcPr>
            <w:tcW w:type="dxa" w:w="864"/>
          </w:tcPr>
          <w:p>
            <w:pPr>
              <w:spacing w:after="20"/>
            </w:pPr>
            <w:r/>
            <w:r>
              <w:rPr>
                <w:rFonts w:ascii="Times New Roman" w:hAnsi="Times New Roman"/>
                <w:color w:val="20242C"/>
                <w:sz w:val="21"/>
              </w:rPr>
              <w:t>O1</w:t>
            </w:r>
          </w:p>
        </w:tc>
        <w:tc>
          <w:tcPr>
            <w:tcW w:type="dxa" w:w="8496"/>
          </w:tcPr>
          <w:p>
            <w:pPr>
              <w:spacing w:after="20"/>
            </w:pPr>
            <w:r/>
            <w:r>
              <w:rPr>
                <w:rFonts w:ascii="Times New Roman" w:hAnsi="Times New Roman"/>
                <w:color w:val="20242C"/>
                <w:sz w:val="21"/>
              </w:rPr>
              <w:t>To catalogue and classify the testing techniques proposed for quantum compilers. (RQ1)</w:t>
            </w:r>
          </w:p>
        </w:tc>
      </w:tr>
      <w:tr>
        <w:tc>
          <w:tcPr>
            <w:tcW w:type="dxa" w:w="864"/>
          </w:tcPr>
          <w:p>
            <w:pPr>
              <w:spacing w:after="20"/>
            </w:pPr>
            <w:r/>
            <w:r>
              <w:rPr>
                <w:rFonts w:ascii="Times New Roman" w:hAnsi="Times New Roman"/>
                <w:color w:val="20242C"/>
                <w:sz w:val="21"/>
              </w:rPr>
              <w:t>O2</w:t>
            </w:r>
          </w:p>
        </w:tc>
        <w:tc>
          <w:tcPr>
            <w:tcW w:type="dxa" w:w="8496"/>
          </w:tcPr>
          <w:p>
            <w:pPr>
              <w:spacing w:after="20"/>
            </w:pPr>
            <w:r/>
            <w:r>
              <w:rPr>
                <w:rFonts w:ascii="Times New Roman" w:hAnsi="Times New Roman"/>
                <w:color w:val="20242C"/>
                <w:sz w:val="21"/>
              </w:rPr>
              <w:t>To analyse correctness-oracle strategies for compiled circuits and their limitations. (RQ2)</w:t>
            </w:r>
          </w:p>
        </w:tc>
      </w:tr>
      <w:tr>
        <w:tc>
          <w:tcPr>
            <w:tcW w:type="dxa" w:w="864"/>
          </w:tcPr>
          <w:p>
            <w:pPr>
              <w:spacing w:after="20"/>
            </w:pPr>
            <w:r/>
            <w:r>
              <w:rPr>
                <w:rFonts w:ascii="Times New Roman" w:hAnsi="Times New Roman"/>
                <w:color w:val="20242C"/>
                <w:sz w:val="21"/>
              </w:rPr>
              <w:t>O3</w:t>
            </w:r>
          </w:p>
        </w:tc>
        <w:tc>
          <w:tcPr>
            <w:tcW w:type="dxa" w:w="8496"/>
          </w:tcPr>
          <w:p>
            <w:pPr>
              <w:spacing w:after="20"/>
            </w:pPr>
            <w:r/>
            <w:r>
              <w:rPr>
                <w:rFonts w:ascii="Times New Roman" w:hAnsi="Times New Roman"/>
                <w:color w:val="20242C"/>
                <w:sz w:val="21"/>
              </w:rPr>
              <w:t>To assess regression-testing, selection, and prioritisation methods for quantum compilers. (RQ3)</w:t>
            </w:r>
          </w:p>
        </w:tc>
      </w:tr>
      <w:tr>
        <w:tc>
          <w:tcPr>
            <w:tcW w:type="dxa" w:w="864"/>
          </w:tcPr>
          <w:p>
            <w:pPr>
              <w:spacing w:after="20"/>
            </w:pPr>
            <w:r/>
            <w:r>
              <w:rPr>
                <w:rFonts w:ascii="Times New Roman" w:hAnsi="Times New Roman"/>
                <w:color w:val="20242C"/>
                <w:sz w:val="21"/>
              </w:rPr>
              <w:t>O4</w:t>
            </w:r>
          </w:p>
        </w:tc>
        <w:tc>
          <w:tcPr>
            <w:tcW w:type="dxa" w:w="8496"/>
          </w:tcPr>
          <w:p>
            <w:pPr>
              <w:spacing w:after="20"/>
            </w:pPr>
            <w:r/>
            <w:r>
              <w:rPr>
                <w:rFonts w:ascii="Times New Roman" w:hAnsi="Times New Roman"/>
                <w:color w:val="20242C"/>
                <w:sz w:val="21"/>
              </w:rPr>
              <w:t>To identify the benchmarks, datasets, and tools used for evaluation. (RQ4)</w:t>
            </w:r>
          </w:p>
        </w:tc>
      </w:tr>
      <w:tr>
        <w:tc>
          <w:tcPr>
            <w:tcW w:type="dxa" w:w="864"/>
          </w:tcPr>
          <w:p>
            <w:pPr>
              <w:spacing w:after="20"/>
            </w:pPr>
            <w:r/>
            <w:r>
              <w:rPr>
                <w:rFonts w:ascii="Times New Roman" w:hAnsi="Times New Roman"/>
                <w:color w:val="20242C"/>
                <w:sz w:val="21"/>
              </w:rPr>
              <w:t>O5</w:t>
            </w:r>
          </w:p>
        </w:tc>
        <w:tc>
          <w:tcPr>
            <w:tcW w:type="dxa" w:w="8496"/>
          </w:tcPr>
          <w:p>
            <w:pPr>
              <w:spacing w:after="20"/>
            </w:pPr>
            <w:r/>
            <w:r>
              <w:rPr>
                <w:rFonts w:ascii="Times New Roman" w:hAnsi="Times New Roman"/>
                <w:color w:val="20242C"/>
                <w:sz w:val="21"/>
              </w:rPr>
              <w:t>To synthesise the open challenges and research gaps in the area. (RQ5)</w:t>
            </w:r>
          </w:p>
        </w:tc>
      </w:tr>
    </w:tbl>
    <w:p/>
    <w:p>
      <w:pPr>
        <w:spacing w:line="276" w:lineRule="auto"/>
      </w:pPr>
      <w:r>
        <w:rPr>
          <w:rFonts w:ascii="Times New Roman" w:hAnsi="Times New Roman"/>
          <w:b/>
          <w:i w:val="0"/>
          <w:color w:val="20242C"/>
          <w:sz w:val="24"/>
        </w:rPr>
        <w:t>Data Sources.</w:t>
      </w:r>
    </w:p>
    <w:p>
      <w:pPr>
        <w:spacing w:line="276" w:lineRule="auto"/>
        <w:jc w:val="both"/>
      </w:pPr>
      <w:r>
        <w:rPr>
          <w:rFonts w:ascii="Times New Roman" w:hAnsi="Times New Roman"/>
          <w:b w:val="0"/>
          <w:i w:val="0"/>
          <w:color w:val="20242C"/>
          <w:sz w:val="24"/>
        </w:rPr>
        <w:t>The primary sources are the electronic databases listed in Table 3, chosen for their coverage of software engineering and quantum-computing venues; arXiv and Google Scholar are included to capture recent preprints and grey literature.</w:t>
      </w:r>
    </w:p>
    <w:p>
      <w:pPr>
        <w:jc w:val="center"/>
      </w:pPr>
      <w:r>
        <w:rPr>
          <w:rFonts w:ascii="Times New Roman" w:hAnsi="Times New Roman"/>
          <w:b/>
          <w:color w:val="20242C"/>
          <w:sz w:val="22"/>
        </w:rPr>
        <w:t>Table 3: Data Sources</w:t>
      </w:r>
    </w:p>
    <w:tbl>
      <w:tblPr>
        <w:tblStyle w:val="TableGrid"/>
        <w:tblW w:type="auto" w:w="0"/>
        <w:jc w:val="center"/>
        <w:tblLook w:firstColumn="1" w:firstRow="1" w:lastColumn="0" w:lastRow="0" w:noHBand="0" w:noVBand="1" w:val="04A0"/>
      </w:tblPr>
      <w:tblGrid>
        <w:gridCol w:w="4608"/>
        <w:gridCol w:w="4608"/>
      </w:tblGrid>
      <w:tr>
        <w:tc>
          <w:tcPr>
            <w:tcW w:type="dxa" w:w="4176"/>
            <w:shd w:val="clear" w:fill="14264F"/>
          </w:tcPr>
          <w:p>
            <w:pPr>
              <w:spacing w:after="20"/>
            </w:pPr>
            <w:r/>
            <w:r>
              <w:rPr>
                <w:rFonts w:ascii="Times New Roman" w:hAnsi="Times New Roman"/>
                <w:b/>
                <w:color w:val="FFFFFF"/>
                <w:sz w:val="21"/>
              </w:rPr>
              <w:t>Source</w:t>
            </w:r>
          </w:p>
        </w:tc>
        <w:tc>
          <w:tcPr>
            <w:tcW w:type="dxa" w:w="5184"/>
            <w:shd w:val="clear" w:fill="14264F"/>
          </w:tcPr>
          <w:p>
            <w:pPr>
              <w:spacing w:after="20"/>
            </w:pPr>
            <w:r/>
            <w:r>
              <w:rPr>
                <w:rFonts w:ascii="Times New Roman" w:hAnsi="Times New Roman"/>
                <w:b/>
                <w:color w:val="FFFFFF"/>
                <w:sz w:val="21"/>
              </w:rPr>
              <w:t>URL</w:t>
            </w:r>
          </w:p>
        </w:tc>
      </w:tr>
      <w:tr>
        <w:tc>
          <w:tcPr>
            <w:tcW w:type="dxa" w:w="4176"/>
          </w:tcPr>
          <w:p>
            <w:pPr>
              <w:spacing w:after="20"/>
            </w:pPr>
            <w:r/>
            <w:r>
              <w:rPr>
                <w:rFonts w:ascii="Times New Roman" w:hAnsi="Times New Roman"/>
                <w:color w:val="20242C"/>
                <w:sz w:val="21"/>
              </w:rPr>
              <w:t>IEEE Xplore</w:t>
            </w:r>
          </w:p>
        </w:tc>
        <w:tc>
          <w:tcPr>
            <w:tcW w:type="dxa" w:w="5184"/>
          </w:tcPr>
          <w:p>
            <w:pPr>
              <w:spacing w:after="20"/>
            </w:pPr>
            <w:r/>
            <w:r>
              <w:rPr>
                <w:rFonts w:ascii="Times New Roman" w:hAnsi="Times New Roman"/>
                <w:color w:val="20242C"/>
                <w:sz w:val="21"/>
              </w:rPr>
              <w:t>https://ieeexplore.ieee.org</w:t>
            </w:r>
          </w:p>
        </w:tc>
      </w:tr>
      <w:tr>
        <w:tc>
          <w:tcPr>
            <w:tcW w:type="dxa" w:w="4176"/>
          </w:tcPr>
          <w:p>
            <w:pPr>
              <w:spacing w:after="20"/>
            </w:pPr>
            <w:r/>
            <w:r>
              <w:rPr>
                <w:rFonts w:ascii="Times New Roman" w:hAnsi="Times New Roman"/>
                <w:color w:val="20242C"/>
                <w:sz w:val="21"/>
              </w:rPr>
              <w:t>ACM Digital Library</w:t>
            </w:r>
          </w:p>
        </w:tc>
        <w:tc>
          <w:tcPr>
            <w:tcW w:type="dxa" w:w="5184"/>
          </w:tcPr>
          <w:p>
            <w:pPr>
              <w:spacing w:after="20"/>
            </w:pPr>
            <w:r/>
            <w:r>
              <w:rPr>
                <w:rFonts w:ascii="Times New Roman" w:hAnsi="Times New Roman"/>
                <w:color w:val="20242C"/>
                <w:sz w:val="21"/>
              </w:rPr>
              <w:t>https://dl.acm.org</w:t>
            </w:r>
          </w:p>
        </w:tc>
      </w:tr>
      <w:tr>
        <w:tc>
          <w:tcPr>
            <w:tcW w:type="dxa" w:w="4176"/>
          </w:tcPr>
          <w:p>
            <w:pPr>
              <w:spacing w:after="20"/>
            </w:pPr>
            <w:r/>
            <w:r>
              <w:rPr>
                <w:rFonts w:ascii="Times New Roman" w:hAnsi="Times New Roman"/>
                <w:color w:val="20242C"/>
                <w:sz w:val="21"/>
              </w:rPr>
              <w:t>ScienceDirect (Elsevier)</w:t>
            </w:r>
          </w:p>
        </w:tc>
        <w:tc>
          <w:tcPr>
            <w:tcW w:type="dxa" w:w="5184"/>
          </w:tcPr>
          <w:p>
            <w:pPr>
              <w:spacing w:after="20"/>
            </w:pPr>
            <w:r/>
            <w:r>
              <w:rPr>
                <w:rFonts w:ascii="Times New Roman" w:hAnsi="Times New Roman"/>
                <w:color w:val="20242C"/>
                <w:sz w:val="21"/>
              </w:rPr>
              <w:t>https://www.sciencedirect.com</w:t>
            </w:r>
          </w:p>
        </w:tc>
      </w:tr>
      <w:tr>
        <w:tc>
          <w:tcPr>
            <w:tcW w:type="dxa" w:w="4176"/>
          </w:tcPr>
          <w:p>
            <w:pPr>
              <w:spacing w:after="20"/>
            </w:pPr>
            <w:r/>
            <w:r>
              <w:rPr>
                <w:rFonts w:ascii="Times New Roman" w:hAnsi="Times New Roman"/>
                <w:color w:val="20242C"/>
                <w:sz w:val="21"/>
              </w:rPr>
              <w:t>SpringerLink</w:t>
            </w:r>
          </w:p>
        </w:tc>
        <w:tc>
          <w:tcPr>
            <w:tcW w:type="dxa" w:w="5184"/>
          </w:tcPr>
          <w:p>
            <w:pPr>
              <w:spacing w:after="20"/>
            </w:pPr>
            <w:r/>
            <w:r>
              <w:rPr>
                <w:rFonts w:ascii="Times New Roman" w:hAnsi="Times New Roman"/>
                <w:color w:val="20242C"/>
                <w:sz w:val="21"/>
              </w:rPr>
              <w:t>https://link.springer.com</w:t>
            </w:r>
          </w:p>
        </w:tc>
      </w:tr>
      <w:tr>
        <w:tc>
          <w:tcPr>
            <w:tcW w:type="dxa" w:w="4176"/>
          </w:tcPr>
          <w:p>
            <w:pPr>
              <w:spacing w:after="20"/>
            </w:pPr>
            <w:r/>
            <w:r>
              <w:rPr>
                <w:rFonts w:ascii="Times New Roman" w:hAnsi="Times New Roman"/>
                <w:color w:val="20242C"/>
                <w:sz w:val="21"/>
              </w:rPr>
              <w:t>Scopus</w:t>
            </w:r>
          </w:p>
        </w:tc>
        <w:tc>
          <w:tcPr>
            <w:tcW w:type="dxa" w:w="5184"/>
          </w:tcPr>
          <w:p>
            <w:pPr>
              <w:spacing w:after="20"/>
            </w:pPr>
            <w:r/>
            <w:r>
              <w:rPr>
                <w:rFonts w:ascii="Times New Roman" w:hAnsi="Times New Roman"/>
                <w:color w:val="20242C"/>
                <w:sz w:val="21"/>
              </w:rPr>
              <w:t>https://www.scopus.com</w:t>
            </w:r>
          </w:p>
        </w:tc>
      </w:tr>
      <w:tr>
        <w:tc>
          <w:tcPr>
            <w:tcW w:type="dxa" w:w="4176"/>
          </w:tcPr>
          <w:p>
            <w:pPr>
              <w:spacing w:after="20"/>
            </w:pPr>
            <w:r/>
            <w:r>
              <w:rPr>
                <w:rFonts w:ascii="Times New Roman" w:hAnsi="Times New Roman"/>
                <w:color w:val="20242C"/>
                <w:sz w:val="21"/>
              </w:rPr>
              <w:t>Web of Science</w:t>
            </w:r>
          </w:p>
        </w:tc>
        <w:tc>
          <w:tcPr>
            <w:tcW w:type="dxa" w:w="5184"/>
          </w:tcPr>
          <w:p>
            <w:pPr>
              <w:spacing w:after="20"/>
            </w:pPr>
            <w:r/>
            <w:r>
              <w:rPr>
                <w:rFonts w:ascii="Times New Roman" w:hAnsi="Times New Roman"/>
                <w:color w:val="20242C"/>
                <w:sz w:val="21"/>
              </w:rPr>
              <w:t>https://www.webofscience.com</w:t>
            </w:r>
          </w:p>
        </w:tc>
      </w:tr>
      <w:tr>
        <w:tc>
          <w:tcPr>
            <w:tcW w:type="dxa" w:w="4176"/>
          </w:tcPr>
          <w:p>
            <w:pPr>
              <w:spacing w:after="20"/>
            </w:pPr>
            <w:r/>
            <w:r>
              <w:rPr>
                <w:rFonts w:ascii="Times New Roman" w:hAnsi="Times New Roman"/>
                <w:color w:val="20242C"/>
                <w:sz w:val="21"/>
              </w:rPr>
              <w:t>arXiv</w:t>
            </w:r>
          </w:p>
        </w:tc>
        <w:tc>
          <w:tcPr>
            <w:tcW w:type="dxa" w:w="5184"/>
          </w:tcPr>
          <w:p>
            <w:pPr>
              <w:spacing w:after="20"/>
            </w:pPr>
            <w:r/>
            <w:r>
              <w:rPr>
                <w:rFonts w:ascii="Times New Roman" w:hAnsi="Times New Roman"/>
                <w:color w:val="20242C"/>
                <w:sz w:val="21"/>
              </w:rPr>
              <w:t>https://arxiv.org</w:t>
            </w:r>
          </w:p>
        </w:tc>
      </w:tr>
      <w:tr>
        <w:tc>
          <w:tcPr>
            <w:tcW w:type="dxa" w:w="4176"/>
          </w:tcPr>
          <w:p>
            <w:pPr>
              <w:spacing w:after="20"/>
            </w:pPr>
            <w:r/>
            <w:r>
              <w:rPr>
                <w:rFonts w:ascii="Times New Roman" w:hAnsi="Times New Roman"/>
                <w:color w:val="20242C"/>
                <w:sz w:val="21"/>
              </w:rPr>
              <w:t>Google Scholar</w:t>
            </w:r>
          </w:p>
        </w:tc>
        <w:tc>
          <w:tcPr>
            <w:tcW w:type="dxa" w:w="5184"/>
          </w:tcPr>
          <w:p>
            <w:pPr>
              <w:spacing w:after="20"/>
            </w:pPr>
            <w:r/>
            <w:r>
              <w:rPr>
                <w:rFonts w:ascii="Times New Roman" w:hAnsi="Times New Roman"/>
                <w:color w:val="20242C"/>
                <w:sz w:val="21"/>
              </w:rPr>
              <w:t>https://scholar.google.com</w:t>
            </w:r>
          </w:p>
        </w:tc>
      </w:tr>
    </w:tbl>
    <w:p/>
    <w:p>
      <w:pPr>
        <w:spacing w:line="276" w:lineRule="auto"/>
      </w:pPr>
      <w:r>
        <w:rPr>
          <w:rFonts w:ascii="Times New Roman" w:hAnsi="Times New Roman"/>
          <w:b/>
          <w:i w:val="0"/>
          <w:color w:val="20242C"/>
          <w:sz w:val="24"/>
        </w:rPr>
        <w:t>Search Strategy.</w:t>
      </w:r>
    </w:p>
    <w:p>
      <w:pPr>
        <w:spacing w:line="276" w:lineRule="auto"/>
        <w:jc w:val="both"/>
      </w:pPr>
      <w:r>
        <w:rPr>
          <w:rFonts w:ascii="Times New Roman" w:hAnsi="Times New Roman"/>
          <w:b w:val="0"/>
          <w:i w:val="0"/>
          <w:color w:val="20242C"/>
          <w:sz w:val="24"/>
        </w:rPr>
        <w:t>The search covers the period from 2015 to 2026, because sustained research on testing quantum SDKs and their compilers is recent, and includes journals, conferences, symposiums, workshops, and peer-reviewed preprints. Search terms are grouped by concept (Table 4) and combined with Boolean operators. The concepts are joined with AND, and the terms within each concept with OR. A representative combined string is: (“quantum” AND (“transpiler” OR “quantum compiler” OR “compilation”)) AND (testing OR bug OR fault OR oracle OR “equivalence checking” OR “regression testing” OR “test selection”).</w:t>
      </w:r>
    </w:p>
    <w:p>
      <w:pPr>
        <w:jc w:val="center"/>
      </w:pPr>
      <w:r>
        <w:rPr>
          <w:rFonts w:ascii="Times New Roman" w:hAnsi="Times New Roman"/>
          <w:b/>
          <w:color w:val="20242C"/>
          <w:sz w:val="22"/>
        </w:rPr>
        <w:t>Table 4: Search Terms by Concept</w:t>
      </w:r>
    </w:p>
    <w:tbl>
      <w:tblPr>
        <w:tblStyle w:val="TableGrid"/>
        <w:tblW w:type="auto" w:w="0"/>
        <w:jc w:val="center"/>
        <w:tblLook w:firstColumn="1" w:firstRow="1" w:lastColumn="0" w:lastRow="0" w:noHBand="0" w:noVBand="1" w:val="04A0"/>
      </w:tblPr>
      <w:tblGrid>
        <w:gridCol w:w="4608"/>
        <w:gridCol w:w="4608"/>
      </w:tblGrid>
      <w:tr>
        <w:tc>
          <w:tcPr>
            <w:tcW w:type="dxa" w:w="2448"/>
            <w:shd w:val="clear" w:fill="14264F"/>
          </w:tcPr>
          <w:p>
            <w:pPr>
              <w:spacing w:after="20"/>
            </w:pPr>
            <w:r/>
            <w:r>
              <w:rPr>
                <w:rFonts w:ascii="Times New Roman" w:hAnsi="Times New Roman"/>
                <w:b/>
                <w:color w:val="FFFFFF"/>
                <w:sz w:val="21"/>
              </w:rPr>
              <w:t>Concept</w:t>
            </w:r>
          </w:p>
        </w:tc>
        <w:tc>
          <w:tcPr>
            <w:tcW w:type="dxa" w:w="6912"/>
            <w:shd w:val="clear" w:fill="14264F"/>
          </w:tcPr>
          <w:p>
            <w:pPr>
              <w:spacing w:after="20"/>
            </w:pPr>
            <w:r/>
            <w:r>
              <w:rPr>
                <w:rFonts w:ascii="Times New Roman" w:hAnsi="Times New Roman"/>
                <w:b/>
                <w:color w:val="FFFFFF"/>
                <w:sz w:val="21"/>
              </w:rPr>
              <w:t>Search terms (combined with OR)</w:t>
            </w:r>
          </w:p>
        </w:tc>
      </w:tr>
      <w:tr>
        <w:tc>
          <w:tcPr>
            <w:tcW w:type="dxa" w:w="2448"/>
          </w:tcPr>
          <w:p>
            <w:pPr>
              <w:spacing w:after="20"/>
            </w:pPr>
            <w:r/>
            <w:r>
              <w:rPr>
                <w:rFonts w:ascii="Times New Roman" w:hAnsi="Times New Roman"/>
                <w:color w:val="20242C"/>
                <w:sz w:val="21"/>
              </w:rPr>
              <w:t>Quantum software</w:t>
            </w:r>
          </w:p>
        </w:tc>
        <w:tc>
          <w:tcPr>
            <w:tcW w:type="dxa" w:w="6912"/>
          </w:tcPr>
          <w:p>
            <w:pPr>
              <w:spacing w:after="20"/>
            </w:pPr>
            <w:r/>
            <w:r>
              <w:rPr>
                <w:rFonts w:ascii="Times New Roman" w:hAnsi="Times New Roman"/>
                <w:color w:val="20242C"/>
                <w:sz w:val="21"/>
              </w:rPr>
              <w:t>“quantum software”, “quantum program”, “quantum SDK”, Qiskit, Cirq, tket, PyQuil</w:t>
            </w:r>
          </w:p>
        </w:tc>
      </w:tr>
      <w:tr>
        <w:tc>
          <w:tcPr>
            <w:tcW w:type="dxa" w:w="2448"/>
          </w:tcPr>
          <w:p>
            <w:pPr>
              <w:spacing w:after="20"/>
            </w:pPr>
            <w:r/>
            <w:r>
              <w:rPr>
                <w:rFonts w:ascii="Times New Roman" w:hAnsi="Times New Roman"/>
                <w:color w:val="20242C"/>
                <w:sz w:val="21"/>
              </w:rPr>
              <w:t>Compiler / transpiler</w:t>
            </w:r>
          </w:p>
        </w:tc>
        <w:tc>
          <w:tcPr>
            <w:tcW w:type="dxa" w:w="6912"/>
          </w:tcPr>
          <w:p>
            <w:pPr>
              <w:spacing w:after="20"/>
            </w:pPr>
            <w:r/>
            <w:r>
              <w:rPr>
                <w:rFonts w:ascii="Times New Roman" w:hAnsi="Times New Roman"/>
                <w:color w:val="20242C"/>
                <w:sz w:val="21"/>
              </w:rPr>
              <w:t>transpiler, “quantum compiler”, compilation, “pass manager”, “qubit mapping”, routing</w:t>
            </w:r>
          </w:p>
        </w:tc>
      </w:tr>
      <w:tr>
        <w:tc>
          <w:tcPr>
            <w:tcW w:type="dxa" w:w="2448"/>
          </w:tcPr>
          <w:p>
            <w:pPr>
              <w:spacing w:after="20"/>
            </w:pPr>
            <w:r/>
            <w:r>
              <w:rPr>
                <w:rFonts w:ascii="Times New Roman" w:hAnsi="Times New Roman"/>
                <w:color w:val="20242C"/>
                <w:sz w:val="21"/>
              </w:rPr>
              <w:t>Testing / faults</w:t>
            </w:r>
          </w:p>
        </w:tc>
        <w:tc>
          <w:tcPr>
            <w:tcW w:type="dxa" w:w="6912"/>
          </w:tcPr>
          <w:p>
            <w:pPr>
              <w:spacing w:after="20"/>
            </w:pPr>
            <w:r/>
            <w:r>
              <w:rPr>
                <w:rFonts w:ascii="Times New Roman" w:hAnsi="Times New Roman"/>
                <w:color w:val="20242C"/>
                <w:sz w:val="21"/>
              </w:rPr>
              <w:t>testing, test, bug, fault, defect, miscompilation, regression</w:t>
            </w:r>
          </w:p>
        </w:tc>
      </w:tr>
      <w:tr>
        <w:tc>
          <w:tcPr>
            <w:tcW w:type="dxa" w:w="2448"/>
          </w:tcPr>
          <w:p>
            <w:pPr>
              <w:spacing w:after="20"/>
            </w:pPr>
            <w:r/>
            <w:r>
              <w:rPr>
                <w:rFonts w:ascii="Times New Roman" w:hAnsi="Times New Roman"/>
                <w:color w:val="20242C"/>
                <w:sz w:val="21"/>
              </w:rPr>
              <w:t>Oracle / technique</w:t>
            </w:r>
          </w:p>
        </w:tc>
        <w:tc>
          <w:tcPr>
            <w:tcW w:type="dxa" w:w="6912"/>
          </w:tcPr>
          <w:p>
            <w:pPr>
              <w:spacing w:after="20"/>
            </w:pPr>
            <w:r/>
            <w:r>
              <w:rPr>
                <w:rFonts w:ascii="Times New Roman" w:hAnsi="Times New Roman"/>
                <w:color w:val="20242C"/>
                <w:sz w:val="21"/>
              </w:rPr>
              <w:t>oracle, “equivalence checking”, metamorphic, “differential testing”, “property-based”, mutation</w:t>
            </w:r>
          </w:p>
        </w:tc>
      </w:tr>
      <w:tr>
        <w:tc>
          <w:tcPr>
            <w:tcW w:type="dxa" w:w="2448"/>
          </w:tcPr>
          <w:p>
            <w:pPr>
              <w:spacing w:after="20"/>
            </w:pPr>
            <w:r/>
            <w:r>
              <w:rPr>
                <w:rFonts w:ascii="Times New Roman" w:hAnsi="Times New Roman"/>
                <w:color w:val="20242C"/>
                <w:sz w:val="21"/>
              </w:rPr>
              <w:t>Selection</w:t>
            </w:r>
          </w:p>
        </w:tc>
        <w:tc>
          <w:tcPr>
            <w:tcW w:type="dxa" w:w="6912"/>
          </w:tcPr>
          <w:p>
            <w:pPr>
              <w:spacing w:after="20"/>
            </w:pPr>
            <w:r/>
            <w:r>
              <w:rPr>
                <w:rFonts w:ascii="Times New Roman" w:hAnsi="Times New Roman"/>
                <w:color w:val="20242C"/>
                <w:sz w:val="21"/>
              </w:rPr>
              <w:t>“test selection”, “test prioritisation”, “regression test”, cost-aware</w:t>
            </w:r>
          </w:p>
        </w:tc>
      </w:tr>
    </w:tbl>
    <w:p/>
    <w:p>
      <w:r>
        <w:rPr>
          <w:rFonts w:ascii="Times New Roman" w:hAnsi="Times New Roman"/>
          <w:b/>
          <w:i w:val="0"/>
          <w:sz w:val="24"/>
        </w:rPr>
        <w:t>Search Procedure.</w:t>
      </w:r>
    </w:p>
    <w:p>
      <w:r>
        <w:rPr>
          <w:rFonts w:ascii="Times New Roman" w:hAnsi="Times New Roman"/>
          <w:b w:val="0"/>
          <w:i w:val="0"/>
          <w:sz w:val="24"/>
        </w:rPr>
        <w:t>To make the search reproducible, the concept-based terms in Table 4 are compiled into a database-specific query. For IEEE Xplore, the full query, applied to the document title, abstract, and index-terms fields and restricted to 2015-2026, is: ("quantum" AND ("transpiler" OR "quantum compiler" OR "compilation" OR "pass manager" OR "qubit mapping")) AND ("testing" OR "test" OR "bug" OR "fault" OR "miscompilation" OR "oracle" OR "equivalence checking" OR "regression testing" OR "test selection" OR "test prioritisation"). Equivalent queries, adapted to each engine's syntax and field tags, are used for the other databases and archived in full in the OSF record. In addition to the database search, backward and forward snowballing following Wohlin's guidelines [19] is applied to the reference lists and citing papers of every included primary study, to recover relevant work not indexed under the search terms.</w:t>
      </w:r>
    </w:p>
    <w:p>
      <w:pPr>
        <w:spacing w:line="276" w:lineRule="auto"/>
      </w:pPr>
      <w:r>
        <w:rPr>
          <w:rFonts w:ascii="Times New Roman" w:hAnsi="Times New Roman"/>
          <w:b/>
          <w:i w:val="0"/>
          <w:color w:val="20242C"/>
          <w:sz w:val="24"/>
        </w:rPr>
        <w:t>Study Selection.</w:t>
      </w:r>
    </w:p>
    <w:p>
      <w:pPr>
        <w:spacing w:line="240" w:lineRule="auto" w:after="0" w:before="0"/>
        <w:jc w:val="both"/>
      </w:pPr>
      <w:r>
        <w:rPr>
          <w:rFonts w:ascii="Times New Roman" w:hAnsi="Times New Roman"/>
          <w:sz w:val="22"/>
        </w:rPr>
        <w:t>Primary studies are selected by applying the inclusion and exclusion criteria of Table 5, focusing first on the title, abstract, and conclusion of each candidate and then on the full text. The study-selection process follows the PRISMA stages of identification, screening, eligibility, and inclusion, as shown in Figure 1. Figure 1 also records the main title-and-abstract exclusion reasons to make the large reduction from the broad search results to the final full-text set transparent and reproducible.</w:t>
      </w:r>
    </w:p>
    <w:p>
      <w:pPr>
        <w:jc w:val="center"/>
      </w:pPr>
      <w:r>
        <w:rPr>
          <w:rFonts w:ascii="Times New Roman" w:hAnsi="Times New Roman"/>
          <w:b/>
          <w:color w:val="20242C"/>
          <w:sz w:val="22"/>
        </w:rPr>
        <w:t>Table 5: Inclusion / Exclusion Criteria</w:t>
      </w:r>
    </w:p>
    <w:tbl>
      <w:tblPr>
        <w:tblStyle w:val="TableGrid"/>
        <w:tblW w:type="auto" w:w="0"/>
        <w:jc w:val="center"/>
        <w:tblLook w:firstColumn="1" w:firstRow="1" w:lastColumn="0" w:lastRow="0" w:noHBand="0" w:noVBand="1" w:val="04A0"/>
      </w:tblPr>
      <w:tblGrid>
        <w:gridCol w:w="4608"/>
        <w:gridCol w:w="4608"/>
      </w:tblGrid>
      <w:tr>
        <w:tc>
          <w:tcPr>
            <w:tcW w:type="dxa" w:w="4680"/>
            <w:shd w:val="clear" w:fill="14264F"/>
          </w:tcPr>
          <w:p>
            <w:pPr>
              <w:spacing w:after="20"/>
            </w:pPr>
            <w:r/>
            <w:r>
              <w:rPr>
                <w:rFonts w:ascii="Times New Roman" w:hAnsi="Times New Roman"/>
                <w:b/>
                <w:color w:val="FFFFFF"/>
                <w:sz w:val="21"/>
              </w:rPr>
              <w:t>Inclusion criteria</w:t>
            </w:r>
          </w:p>
        </w:tc>
        <w:tc>
          <w:tcPr>
            <w:tcW w:type="dxa" w:w="4680"/>
            <w:shd w:val="clear" w:fill="14264F"/>
          </w:tcPr>
          <w:p>
            <w:pPr>
              <w:spacing w:after="20"/>
            </w:pPr>
            <w:r/>
            <w:r>
              <w:rPr>
                <w:rFonts w:ascii="Times New Roman" w:hAnsi="Times New Roman"/>
                <w:b/>
                <w:color w:val="FFFFFF"/>
                <w:sz w:val="21"/>
              </w:rPr>
              <w:t>Exclusion criteria</w:t>
            </w:r>
          </w:p>
        </w:tc>
      </w:tr>
      <w:tr>
        <w:tc>
          <w:tcPr>
            <w:tcW w:type="dxa" w:w="4680"/>
          </w:tcPr>
          <w:p>
            <w:pPr>
              <w:spacing w:after="20"/>
            </w:pPr>
            <w:r/>
            <w:r>
              <w:rPr>
                <w:rFonts w:ascii="Times New Roman" w:hAnsi="Times New Roman"/>
                <w:color w:val="20242C"/>
                <w:sz w:val="21"/>
              </w:rPr>
              <w:t>Peer-reviewed papers or citable preprints on testing or analysis of quantum compilers or transpilers.</w:t>
            </w:r>
          </w:p>
        </w:tc>
        <w:tc>
          <w:tcPr>
            <w:tcW w:type="dxa" w:w="4680"/>
          </w:tcPr>
          <w:p>
            <w:pPr>
              <w:spacing w:after="20"/>
            </w:pPr>
            <w:r/>
            <w:r>
              <w:rPr>
                <w:rFonts w:ascii="Times New Roman" w:hAnsi="Times New Roman"/>
                <w:color w:val="20242C"/>
                <w:sz w:val="21"/>
              </w:rPr>
              <w:t>Duplicate records of the same study across databases.</w:t>
            </w:r>
          </w:p>
        </w:tc>
      </w:tr>
      <w:tr>
        <w:tc>
          <w:tcPr>
            <w:tcW w:type="dxa" w:w="4680"/>
          </w:tcPr>
          <w:p>
            <w:pPr>
              <w:spacing w:after="20"/>
            </w:pPr>
            <w:r/>
            <w:r>
              <w:rPr>
                <w:rFonts w:ascii="Times New Roman" w:hAnsi="Times New Roman"/>
                <w:color w:val="20242C"/>
                <w:sz w:val="21"/>
              </w:rPr>
              <w:t>Studies proposing or evaluating a testing technique, oracle, or regression-testing method for quantum compilation.</w:t>
            </w:r>
          </w:p>
        </w:tc>
        <w:tc>
          <w:tcPr>
            <w:tcW w:type="dxa" w:w="4680"/>
          </w:tcPr>
          <w:p>
            <w:pPr>
              <w:spacing w:after="20"/>
            </w:pPr>
            <w:r/>
            <w:r>
              <w:rPr>
                <w:rFonts w:ascii="Times New Roman" w:hAnsi="Times New Roman"/>
                <w:color w:val="20242C"/>
                <w:sz w:val="21"/>
              </w:rPr>
              <w:t>Papers not available in the English language.</w:t>
            </w:r>
          </w:p>
        </w:tc>
      </w:tr>
      <w:tr>
        <w:tc>
          <w:tcPr>
            <w:tcW w:type="dxa" w:w="4680"/>
          </w:tcPr>
          <w:p>
            <w:pPr>
              <w:spacing w:after="20"/>
            </w:pPr>
            <w:r/>
            <w:r>
              <w:rPr>
                <w:rFonts w:ascii="Times New Roman" w:hAnsi="Times New Roman"/>
                <w:color w:val="20242C"/>
                <w:sz w:val="21"/>
              </w:rPr>
              <w:t>Studies published between 2015 and 2026.</w:t>
            </w:r>
          </w:p>
        </w:tc>
        <w:tc>
          <w:tcPr>
            <w:tcW w:type="dxa" w:w="4680"/>
          </w:tcPr>
          <w:p>
            <w:pPr>
              <w:spacing w:after="20"/>
            </w:pPr>
            <w:r/>
            <w:r>
              <w:rPr>
                <w:rFonts w:ascii="Times New Roman" w:hAnsi="Times New Roman"/>
                <w:color w:val="20242C"/>
                <w:sz w:val="21"/>
              </w:rPr>
              <w:t>Papers on a different subject (for example, pure quantum algorithms or hardware) not concerned with compiler testing.</w:t>
            </w:r>
          </w:p>
        </w:tc>
      </w:tr>
      <w:tr>
        <w:tc>
          <w:tcPr>
            <w:tcW w:type="dxa" w:w="4680"/>
          </w:tcPr>
          <w:p>
            <w:pPr>
              <w:spacing w:after="20"/>
            </w:pPr>
            <w:r/>
            <w:r>
              <w:rPr>
                <w:rFonts w:ascii="Times New Roman" w:hAnsi="Times New Roman"/>
                <w:color w:val="20242C"/>
                <w:sz w:val="21"/>
              </w:rPr>
              <w:t>Empirical or methodological studies with a described approach and evaluation.</w:t>
            </w:r>
          </w:p>
        </w:tc>
        <w:tc>
          <w:tcPr>
            <w:tcW w:type="dxa" w:w="4680"/>
          </w:tcPr>
          <w:p>
            <w:pPr>
              <w:spacing w:after="20"/>
            </w:pPr>
            <w:r/>
            <w:r>
              <w:rPr>
                <w:rFonts w:ascii="Times New Roman" w:hAnsi="Times New Roman"/>
                <w:color w:val="20242C"/>
                <w:sz w:val="21"/>
              </w:rPr>
              <w:t>Short abstracts, posters, or editorials without a described method.</w:t>
            </w:r>
          </w:p>
        </w:tc>
      </w:tr>
    </w:tbl>
    <w:p/>
    <w:p>
      <w:pPr>
        <w:spacing w:before="60" w:after="60"/>
        <w:jc w:val="center"/>
      </w:pPr>
      <w:r>
        <w:drawing>
          <wp:inline xmlns:a="http://schemas.openxmlformats.org/drawingml/2006/main" xmlns:pic="http://schemas.openxmlformats.org/drawingml/2006/picture">
            <wp:extent cx="5715000" cy="3810000"/>
            <wp:docPr id="1" name="Picture 1"/>
            <wp:cNvGraphicFramePr>
              <a:graphicFrameLocks noChangeAspect="1"/>
            </wp:cNvGraphicFramePr>
            <a:graphic>
              <a:graphicData uri="http://schemas.openxmlformats.org/drawingml/2006/picture">
                <pic:pic>
                  <pic:nvPicPr>
                    <pic:cNvPr id="0" name="prisma_selection_transparency_v2.png"/>
                    <pic:cNvPicPr/>
                  </pic:nvPicPr>
                  <pic:blipFill>
                    <a:blip r:embed="rId10"/>
                    <a:stretch>
                      <a:fillRect/>
                    </a:stretch>
                  </pic:blipFill>
                  <pic:spPr>
                    <a:xfrm>
                      <a:off x="0" y="0"/>
                      <a:ext cx="5715000" cy="3810000"/>
                    </a:xfrm>
                    <a:prstGeom prst="rect"/>
                  </pic:spPr>
                </pic:pic>
              </a:graphicData>
            </a:graphic>
          </wp:inline>
        </w:drawing>
      </w:r>
    </w:p>
    <w:p>
      <w:pPr>
        <w:jc w:val="center"/>
      </w:pPr>
      <w:r>
        <w:rPr>
          <w:b/>
          <w:sz w:val="20"/>
        </w:rPr>
        <w:t>Figure 1: Primary studies selection process (PRISMA-based).</w:t>
      </w:r>
    </w:p>
    <w:p>
      <w:pPr>
        <w:jc w:val="both"/>
      </w:pPr>
      <w:r>
        <w:rPr>
          <w:rFonts w:ascii="Times New Roman" w:hAnsi="Times New Roman"/>
          <w:sz w:val="24"/>
        </w:rPr>
        <w:t>The search is deliberately broad, so a steep drop from the initial hits to the final set is expected. At the title-and-abstract stage, records are set aside once they turn out to be about quantum algorithms, hardware, or physics, about quantum software in general, or about compiler optimisation with no testing, oracle, or verification angle, along with papers that report no real method. Figure 1 records these reasons.</w:t>
      </w:r>
    </w:p>
    <w:p>
      <w:r>
        <w:rPr>
          <w:rFonts w:ascii="Times New Roman" w:hAnsi="Times New Roman"/>
          <w:b/>
          <w:i w:val="0"/>
          <w:sz w:val="24"/>
        </w:rPr>
        <w:t>Selection Procedure and Reliability.</w:t>
      </w:r>
    </w:p>
    <w:p>
      <w:r>
        <w:rPr>
          <w:rFonts w:ascii="Times New Roman" w:hAnsi="Times New Roman"/>
          <w:sz w:val="24"/>
        </w:rPr>
        <w:t>Every record from the databases is imported into a reference manager (Zotero [17]), where exact and near-duplicate entries are removed before screening; the screening itself runs in Rayyan [16]. Two reviewers then work through the titles and abstracts, and later the full texts, independently, against the criteria in Table 5. Their agreement is measured with Cohen's kappa [20], or Fleiss' kappa [21] once a third reviewer is involved, and screening continues only after agreement reaches at least 0.6; disagreements are talked through, and a third reviewer settles whatever remains. Before full extraction, both reviewers pilot the form in Table 7 on a random handful of included studies so that each item is read the same way, and the rest of the extraction is cross-checked. Being independent and agreement-controlled, the process is both harder to bias and straightforward to audit.</w:t>
      </w:r>
    </w:p>
    <w:p>
      <w:r>
        <w:rPr>
          <w:rFonts w:ascii="Times New Roman" w:hAnsi="Times New Roman" w:eastAsia="Times New Roman"/>
          <w:b/>
          <w:sz w:val="24"/>
        </w:rPr>
        <w:t>Quality Assessment.</w:t>
      </w:r>
    </w:p>
    <w:p>
      <w:pPr>
        <w:spacing w:after="120"/>
        <w:jc w:val="both"/>
      </w:pPr>
      <w:r>
        <w:rPr>
          <w:rFonts w:ascii="Times New Roman" w:hAnsi="Times New Roman"/>
          <w:b w:val="0"/>
          <w:sz w:val="24"/>
        </w:rPr>
        <w:t>Each eligible study will be scored against the six checklist items of Table 6: QA1 = aims and scope clearly stated; QA2 = testing technique or oracle clearly described; QA3 = sound evaluation methodology, including benchmarks, metrics, and baselines; QA4 = results clearly reported and supported by evidence; QA5 = limitations and threats to validity discussed; and QA6 = tools, data, or artifacts available for reproduction. Each item is scored 1 (yes), 0.5 (partly), or 0 (no). The pre-declared quality threshold is 4.0 out of 6; studies below this threshold will be excluded or flagged for sensitivity analysis.</w:t>
      </w:r>
    </w:p>
    <w:p>
      <w:r>
        <w:br w:type="page"/>
      </w:r>
    </w:p>
    <w:p>
      <w:pPr>
        <w:jc w:val="center"/>
      </w:pPr>
      <w:r>
        <w:rPr>
          <w:rFonts w:ascii="Times New Roman" w:hAnsi="Times New Roman"/>
          <w:b/>
          <w:sz w:val="24"/>
        </w:rPr>
        <w:t>Table 6: Quality Assessment Checklist</w:t>
      </w:r>
    </w:p>
    <w:tbl>
      <w:tblPr>
        <w:tblStyle w:val="TableGrid"/>
        <w:tblW w:type="auto" w:w="0"/>
        <w:jc w:val="center"/>
        <w:tblLook w:firstColumn="1" w:firstRow="1" w:lastColumn="0" w:lastRow="0" w:noHBand="0" w:noVBand="1" w:val="04A0"/>
      </w:tblPr>
      <w:tblGrid>
        <w:gridCol w:w="3072"/>
        <w:gridCol w:w="3072"/>
        <w:gridCol w:w="3072"/>
      </w:tblGrid>
      <w:tr>
        <w:tc>
          <w:tcPr>
            <w:tcW w:type="dxa" w:w="1008"/>
            <w:shd w:val="clear" w:fill="14264F"/>
          </w:tcPr>
          <w:p>
            <w:r/>
            <w:r>
              <w:rPr>
                <w:rFonts w:ascii="Times New Roman" w:hAnsi="Times New Roman"/>
                <w:b/>
                <w:color w:val="FFFFFF"/>
                <w:sz w:val="22"/>
              </w:rPr>
              <w:t>ID</w:t>
            </w:r>
          </w:p>
        </w:tc>
        <w:tc>
          <w:tcPr>
            <w:tcW w:type="dxa" w:w="6624"/>
            <w:shd w:val="clear" w:fill="14264F"/>
          </w:tcPr>
          <w:p>
            <w:r/>
            <w:r>
              <w:rPr>
                <w:rFonts w:ascii="Times New Roman" w:hAnsi="Times New Roman"/>
                <w:b/>
                <w:color w:val="FFFFFF"/>
                <w:sz w:val="22"/>
              </w:rPr>
              <w:t>Quality assessment question</w:t>
            </w:r>
          </w:p>
        </w:tc>
        <w:tc>
          <w:tcPr>
            <w:tcW w:type="dxa" w:w="1728"/>
            <w:shd w:val="clear" w:fill="14264F"/>
          </w:tcPr>
          <w:p>
            <w:r/>
            <w:r>
              <w:rPr>
                <w:rFonts w:ascii="Times New Roman" w:hAnsi="Times New Roman"/>
                <w:b/>
                <w:color w:val="FFFFFF"/>
                <w:sz w:val="22"/>
              </w:rPr>
              <w:t>Score</w:t>
            </w:r>
          </w:p>
        </w:tc>
      </w:tr>
      <w:tr>
        <w:tc>
          <w:tcPr>
            <w:tcW w:type="dxa" w:w="1008"/>
          </w:tcPr>
          <w:p>
            <w:r/>
            <w:r>
              <w:rPr>
                <w:rFonts w:ascii="Times New Roman" w:hAnsi="Times New Roman"/>
                <w:sz w:val="22"/>
              </w:rPr>
              <w:t>QA1</w:t>
            </w:r>
          </w:p>
        </w:tc>
        <w:tc>
          <w:tcPr>
            <w:tcW w:type="dxa" w:w="6624"/>
          </w:tcPr>
          <w:p>
            <w:r/>
            <w:r>
              <w:rPr>
                <w:rFonts w:ascii="Times New Roman" w:hAnsi="Times New Roman"/>
                <w:sz w:val="22"/>
              </w:rPr>
              <w:t>Are the aims and scope of the study clearly stated?</w:t>
            </w:r>
          </w:p>
        </w:tc>
        <w:tc>
          <w:tcPr>
            <w:tcW w:type="dxa" w:w="1728"/>
          </w:tcPr>
          <w:p>
            <w:r/>
            <w:r>
              <w:rPr>
                <w:rFonts w:ascii="Times New Roman" w:hAnsi="Times New Roman"/>
                <w:sz w:val="22"/>
              </w:rPr>
              <w:t>0 / 0.5 / 1</w:t>
            </w:r>
          </w:p>
        </w:tc>
      </w:tr>
      <w:tr>
        <w:tc>
          <w:tcPr>
            <w:tcW w:type="dxa" w:w="1008"/>
            <w:shd w:val="clear" w:fill="EFF4FA"/>
          </w:tcPr>
          <w:p>
            <w:r/>
            <w:r>
              <w:rPr>
                <w:rFonts w:ascii="Times New Roman" w:hAnsi="Times New Roman"/>
                <w:sz w:val="22"/>
              </w:rPr>
              <w:t>QA2</w:t>
            </w:r>
          </w:p>
        </w:tc>
        <w:tc>
          <w:tcPr>
            <w:tcW w:type="dxa" w:w="6624"/>
            <w:shd w:val="clear" w:fill="EFF4FA"/>
          </w:tcPr>
          <w:p>
            <w:r/>
            <w:r>
              <w:rPr>
                <w:rFonts w:ascii="Times New Roman" w:hAnsi="Times New Roman"/>
                <w:sz w:val="22"/>
              </w:rPr>
              <w:t>Is the testing technique or oracle clearly described?</w:t>
            </w:r>
          </w:p>
        </w:tc>
        <w:tc>
          <w:tcPr>
            <w:tcW w:type="dxa" w:w="1728"/>
            <w:shd w:val="clear" w:fill="EFF4FA"/>
          </w:tcPr>
          <w:p>
            <w:r/>
            <w:r>
              <w:rPr>
                <w:rFonts w:ascii="Times New Roman" w:hAnsi="Times New Roman"/>
                <w:sz w:val="22"/>
              </w:rPr>
              <w:t>0 / 0.5 / 1</w:t>
            </w:r>
          </w:p>
        </w:tc>
      </w:tr>
      <w:tr>
        <w:tc>
          <w:tcPr>
            <w:tcW w:type="dxa" w:w="1008"/>
          </w:tcPr>
          <w:p>
            <w:r/>
            <w:r>
              <w:rPr>
                <w:rFonts w:ascii="Times New Roman" w:hAnsi="Times New Roman"/>
                <w:sz w:val="22"/>
              </w:rPr>
              <w:t>QA3</w:t>
            </w:r>
          </w:p>
        </w:tc>
        <w:tc>
          <w:tcPr>
            <w:tcW w:type="dxa" w:w="6624"/>
          </w:tcPr>
          <w:p>
            <w:r/>
            <w:r>
              <w:rPr>
                <w:rFonts w:ascii="Times New Roman" w:hAnsi="Times New Roman"/>
                <w:sz w:val="22"/>
              </w:rPr>
              <w:t>Is the evaluation methodology sound (benchmarks, metrics, baselines)?</w:t>
            </w:r>
          </w:p>
        </w:tc>
        <w:tc>
          <w:tcPr>
            <w:tcW w:type="dxa" w:w="1728"/>
          </w:tcPr>
          <w:p>
            <w:r/>
            <w:r>
              <w:rPr>
                <w:rFonts w:ascii="Times New Roman" w:hAnsi="Times New Roman"/>
                <w:sz w:val="22"/>
              </w:rPr>
              <w:t>0 / 0.5 / 1</w:t>
            </w:r>
          </w:p>
        </w:tc>
      </w:tr>
      <w:tr>
        <w:tc>
          <w:tcPr>
            <w:tcW w:type="dxa" w:w="1008"/>
            <w:shd w:val="clear" w:fill="EFF4FA"/>
          </w:tcPr>
          <w:p>
            <w:r/>
            <w:r>
              <w:rPr>
                <w:rFonts w:ascii="Times New Roman" w:hAnsi="Times New Roman"/>
                <w:sz w:val="22"/>
              </w:rPr>
              <w:t>QA4</w:t>
            </w:r>
          </w:p>
        </w:tc>
        <w:tc>
          <w:tcPr>
            <w:tcW w:type="dxa" w:w="6624"/>
            <w:shd w:val="clear" w:fill="EFF4FA"/>
          </w:tcPr>
          <w:p>
            <w:r/>
            <w:r>
              <w:rPr>
                <w:rFonts w:ascii="Times New Roman" w:hAnsi="Times New Roman"/>
                <w:sz w:val="22"/>
              </w:rPr>
              <w:t>Are the results clearly reported and supported by evidence?</w:t>
            </w:r>
          </w:p>
        </w:tc>
        <w:tc>
          <w:tcPr>
            <w:tcW w:type="dxa" w:w="1728"/>
            <w:shd w:val="clear" w:fill="EFF4FA"/>
          </w:tcPr>
          <w:p>
            <w:r/>
            <w:r>
              <w:rPr>
                <w:rFonts w:ascii="Times New Roman" w:hAnsi="Times New Roman"/>
                <w:sz w:val="22"/>
              </w:rPr>
              <w:t>0 / 0.5 / 1</w:t>
            </w:r>
          </w:p>
        </w:tc>
      </w:tr>
      <w:tr>
        <w:tc>
          <w:tcPr>
            <w:tcW w:type="dxa" w:w="1008"/>
          </w:tcPr>
          <w:p>
            <w:r/>
            <w:r>
              <w:rPr>
                <w:rFonts w:ascii="Times New Roman" w:hAnsi="Times New Roman"/>
                <w:sz w:val="22"/>
              </w:rPr>
              <w:t>QA5</w:t>
            </w:r>
          </w:p>
        </w:tc>
        <w:tc>
          <w:tcPr>
            <w:tcW w:type="dxa" w:w="6624"/>
          </w:tcPr>
          <w:p>
            <w:r/>
            <w:r>
              <w:rPr>
                <w:rFonts w:ascii="Times New Roman" w:hAnsi="Times New Roman"/>
                <w:sz w:val="22"/>
              </w:rPr>
              <w:t>Are the limitations and threats to validity discussed?</w:t>
            </w:r>
          </w:p>
        </w:tc>
        <w:tc>
          <w:tcPr>
            <w:tcW w:type="dxa" w:w="1728"/>
          </w:tcPr>
          <w:p>
            <w:r/>
            <w:r>
              <w:rPr>
                <w:rFonts w:ascii="Times New Roman" w:hAnsi="Times New Roman"/>
                <w:sz w:val="22"/>
              </w:rPr>
              <w:t>0 / 0.5 / 1</w:t>
            </w:r>
          </w:p>
        </w:tc>
      </w:tr>
      <w:tr>
        <w:tc>
          <w:tcPr>
            <w:tcW w:type="dxa" w:w="1008"/>
            <w:shd w:val="clear" w:fill="EFF4FA"/>
          </w:tcPr>
          <w:p>
            <w:r/>
            <w:r>
              <w:rPr>
                <w:rFonts w:ascii="Times New Roman" w:hAnsi="Times New Roman"/>
                <w:sz w:val="22"/>
              </w:rPr>
              <w:t>QA6</w:t>
            </w:r>
          </w:p>
        </w:tc>
        <w:tc>
          <w:tcPr>
            <w:tcW w:type="dxa" w:w="6624"/>
            <w:shd w:val="clear" w:fill="EFF4FA"/>
          </w:tcPr>
          <w:p>
            <w:r/>
            <w:r>
              <w:rPr>
                <w:rFonts w:ascii="Times New Roman" w:hAnsi="Times New Roman"/>
                <w:sz w:val="22"/>
              </w:rPr>
              <w:t>Are the tools, data, or artifacts available for reproduction?</w:t>
            </w:r>
          </w:p>
        </w:tc>
        <w:tc>
          <w:tcPr>
            <w:tcW w:type="dxa" w:w="1728"/>
            <w:shd w:val="clear" w:fill="EFF4FA"/>
          </w:tcPr>
          <w:p>
            <w:r/>
            <w:r>
              <w:rPr>
                <w:rFonts w:ascii="Times New Roman" w:hAnsi="Times New Roman"/>
                <w:sz w:val="22"/>
              </w:rPr>
              <w:t>0 / 0.5 / 1</w:t>
            </w:r>
          </w:p>
        </w:tc>
      </w:tr>
    </w:tbl>
    <w:p>
      <w:r>
        <w:rPr>
          <w:rFonts w:ascii="Times New Roman" w:hAnsi="Times New Roman" w:eastAsia="Times New Roman"/>
          <w:b/>
          <w:sz w:val="24"/>
        </w:rPr>
        <w:t>Data Extraction.</w:t>
      </w:r>
    </w:p>
    <w:p>
      <w:pPr>
        <w:spacing w:after="120"/>
        <w:jc w:val="both"/>
      </w:pPr>
      <w:r>
        <w:rPr>
          <w:rFonts w:ascii="Times New Roman" w:hAnsi="Times New Roman"/>
          <w:sz w:val="24"/>
        </w:rPr>
        <w:t>For every included study, the form in Table 7 captures the same things: the testing technique, the correctness oracle and the fault classes it can and cannot see, how far the study bears on regression testing (including any mechanism for selecting or prioritising tests), the benchmarks and tools involved, and the open problems the authors report. Using one form for every study is what makes the extracted data comparable when it comes to synthesis.</w:t>
      </w:r>
    </w:p>
    <w:p>
      <w:r>
        <w:rPr>
          <w:rFonts w:ascii="Times New Roman" w:hAnsi="Times New Roman"/>
          <w:b/>
          <w:sz w:val="24"/>
        </w:rPr>
        <w:t>Outcomes and data-item prioritization.</w:t>
      </w:r>
      <w:r>
        <w:rPr>
          <w:rFonts w:ascii="Times New Roman" w:hAnsi="Times New Roman"/>
          <w:sz w:val="24"/>
        </w:rPr>
        <w:t xml:space="preserve"> The items that matter most are the testing technique, the oracle and its limitations, and the study's relevance to regression testing, since these answer RQ1 to RQ3 directly; the benchmarks and tools and the reported open challenges are secondary, feeding RQ4 and RQ5. Table 7 lists the full set and the question each item serves.</w:t>
      </w:r>
    </w:p>
    <w:p>
      <w:pPr>
        <w:jc w:val="center"/>
      </w:pPr>
      <w:r>
        <w:rPr>
          <w:rFonts w:ascii="Times New Roman" w:hAnsi="Times New Roman"/>
          <w:b/>
          <w:sz w:val="24"/>
        </w:rPr>
        <w:t>Table 7: Data-Extraction Form (Data-Item Description)</w:t>
      </w:r>
    </w:p>
    <w:tbl>
      <w:tblPr>
        <w:tblStyle w:val="TableGrid"/>
        <w:tblW w:type="auto" w:w="0"/>
        <w:jc w:val="center"/>
        <w:tblLook w:firstColumn="1" w:firstRow="1" w:lastColumn="0" w:lastRow="0" w:noHBand="0" w:noVBand="1" w:val="04A0"/>
      </w:tblPr>
      <w:tblGrid>
        <w:gridCol w:w="3072"/>
        <w:gridCol w:w="3072"/>
        <w:gridCol w:w="3072"/>
      </w:tblGrid>
      <w:tr>
        <w:tc>
          <w:tcPr>
            <w:tcW w:type="dxa" w:w="2448"/>
            <w:shd w:val="clear" w:fill="14264F"/>
          </w:tcPr>
          <w:p>
            <w:r/>
            <w:r>
              <w:rPr>
                <w:rFonts w:ascii="Times New Roman" w:hAnsi="Times New Roman"/>
                <w:b/>
                <w:color w:val="FFFFFF"/>
                <w:sz w:val="21"/>
              </w:rPr>
              <w:t>Data item</w:t>
            </w:r>
          </w:p>
        </w:tc>
        <w:tc>
          <w:tcPr>
            <w:tcW w:type="dxa" w:w="5760"/>
            <w:shd w:val="clear" w:fill="14264F"/>
          </w:tcPr>
          <w:p>
            <w:r/>
            <w:r>
              <w:rPr>
                <w:rFonts w:ascii="Times New Roman" w:hAnsi="Times New Roman"/>
                <w:b/>
                <w:color w:val="FFFFFF"/>
                <w:sz w:val="21"/>
              </w:rPr>
              <w:t>Description</w:t>
            </w:r>
          </w:p>
        </w:tc>
        <w:tc>
          <w:tcPr>
            <w:tcW w:type="dxa" w:w="1152"/>
            <w:shd w:val="clear" w:fill="14264F"/>
          </w:tcPr>
          <w:p>
            <w:r/>
            <w:r>
              <w:rPr>
                <w:rFonts w:ascii="Times New Roman" w:hAnsi="Times New Roman"/>
                <w:b/>
                <w:color w:val="FFFFFF"/>
                <w:sz w:val="21"/>
              </w:rPr>
              <w:t>RQ(s)</w:t>
            </w:r>
          </w:p>
        </w:tc>
      </w:tr>
      <w:tr>
        <w:tc>
          <w:tcPr>
            <w:tcW w:type="dxa" w:w="2448"/>
          </w:tcPr>
          <w:p>
            <w:r/>
            <w:r>
              <w:rPr>
                <w:rFonts w:ascii="Times New Roman" w:hAnsi="Times New Roman"/>
                <w:sz w:val="21"/>
              </w:rPr>
              <w:t>Study metadata</w:t>
            </w:r>
          </w:p>
        </w:tc>
        <w:tc>
          <w:tcPr>
            <w:tcW w:type="dxa" w:w="5760"/>
          </w:tcPr>
          <w:p>
            <w:r/>
            <w:r>
              <w:rPr>
                <w:rFonts w:ascii="Times New Roman" w:hAnsi="Times New Roman"/>
                <w:sz w:val="21"/>
              </w:rPr>
              <w:t>Title, authors, publication venue, year, and source database</w:t>
            </w:r>
          </w:p>
        </w:tc>
        <w:tc>
          <w:tcPr>
            <w:tcW w:type="dxa" w:w="1152"/>
          </w:tcPr>
          <w:p>
            <w:r/>
            <w:r>
              <w:rPr>
                <w:rFonts w:ascii="Times New Roman" w:hAnsi="Times New Roman"/>
                <w:sz w:val="21"/>
              </w:rPr>
              <w:t>RQ1</w:t>
            </w:r>
          </w:p>
        </w:tc>
      </w:tr>
      <w:tr>
        <w:tc>
          <w:tcPr>
            <w:tcW w:type="dxa" w:w="2448"/>
            <w:shd w:val="clear" w:fill="EFF4FA"/>
          </w:tcPr>
          <w:p>
            <w:r/>
            <w:r>
              <w:rPr>
                <w:rFonts w:ascii="Times New Roman" w:hAnsi="Times New Roman"/>
                <w:sz w:val="21"/>
              </w:rPr>
              <w:t>Testing technique</w:t>
            </w:r>
          </w:p>
        </w:tc>
        <w:tc>
          <w:tcPr>
            <w:tcW w:type="dxa" w:w="5760"/>
            <w:shd w:val="clear" w:fill="EFF4FA"/>
          </w:tcPr>
          <w:p>
            <w:r/>
            <w:r>
              <w:rPr>
                <w:rFonts w:ascii="Times New Roman" w:hAnsi="Times New Roman"/>
                <w:sz w:val="21"/>
              </w:rPr>
              <w:t>The testing or analysis technique proposed or evaluated (differential, metamorphic, fuzzing, equivalence modulo inputs, formal verification, or benchmark)</w:t>
            </w:r>
          </w:p>
        </w:tc>
        <w:tc>
          <w:tcPr>
            <w:tcW w:type="dxa" w:w="1152"/>
            <w:shd w:val="clear" w:fill="EFF4FA"/>
          </w:tcPr>
          <w:p>
            <w:r/>
            <w:r>
              <w:rPr>
                <w:rFonts w:ascii="Times New Roman" w:hAnsi="Times New Roman"/>
                <w:sz w:val="21"/>
              </w:rPr>
              <w:t>RQ1</w:t>
            </w:r>
          </w:p>
        </w:tc>
      </w:tr>
      <w:tr>
        <w:tc>
          <w:tcPr>
            <w:tcW w:type="dxa" w:w="2448"/>
          </w:tcPr>
          <w:p>
            <w:r/>
            <w:r>
              <w:rPr>
                <w:rFonts w:ascii="Times New Roman" w:hAnsi="Times New Roman"/>
                <w:sz w:val="21"/>
              </w:rPr>
              <w:t>Correctness oracle</w:t>
            </w:r>
          </w:p>
        </w:tc>
        <w:tc>
          <w:tcPr>
            <w:tcW w:type="dxa" w:w="5760"/>
          </w:tcPr>
          <w:p>
            <w:r/>
            <w:r>
              <w:rPr>
                <w:rFonts w:ascii="Times New Roman" w:hAnsi="Times New Roman"/>
                <w:sz w:val="21"/>
              </w:rPr>
              <w:t>The oracle used to decide correctness and how it is computed</w:t>
            </w:r>
          </w:p>
        </w:tc>
        <w:tc>
          <w:tcPr>
            <w:tcW w:type="dxa" w:w="1152"/>
          </w:tcPr>
          <w:p>
            <w:r/>
            <w:r>
              <w:rPr>
                <w:rFonts w:ascii="Times New Roman" w:hAnsi="Times New Roman"/>
                <w:sz w:val="21"/>
              </w:rPr>
              <w:t>RQ2</w:t>
            </w:r>
          </w:p>
        </w:tc>
      </w:tr>
      <w:tr>
        <w:tc>
          <w:tcPr>
            <w:tcW w:type="dxa" w:w="2448"/>
            <w:shd w:val="clear" w:fill="EFF4FA"/>
          </w:tcPr>
          <w:p>
            <w:r/>
            <w:r>
              <w:rPr>
                <w:rFonts w:ascii="Times New Roman" w:hAnsi="Times New Roman"/>
                <w:sz w:val="21"/>
              </w:rPr>
              <w:t>Oracle limitations</w:t>
            </w:r>
          </w:p>
        </w:tc>
        <w:tc>
          <w:tcPr>
            <w:tcW w:type="dxa" w:w="5760"/>
            <w:shd w:val="clear" w:fill="EFF4FA"/>
          </w:tcPr>
          <w:p>
            <w:r/>
            <w:r>
              <w:rPr>
                <w:rFonts w:ascii="Times New Roman" w:hAnsi="Times New Roman"/>
                <w:sz w:val="21"/>
              </w:rPr>
              <w:t>The fault classes the oracle can and cannot observe</w:t>
            </w:r>
          </w:p>
        </w:tc>
        <w:tc>
          <w:tcPr>
            <w:tcW w:type="dxa" w:w="1152"/>
            <w:shd w:val="clear" w:fill="EFF4FA"/>
          </w:tcPr>
          <w:p>
            <w:r/>
            <w:r>
              <w:rPr>
                <w:rFonts w:ascii="Times New Roman" w:hAnsi="Times New Roman"/>
                <w:sz w:val="21"/>
              </w:rPr>
              <w:t>RQ2</w:t>
            </w:r>
          </w:p>
        </w:tc>
      </w:tr>
      <w:tr>
        <w:tc>
          <w:tcPr>
            <w:tcW w:type="dxa" w:w="2448"/>
          </w:tcPr>
          <w:p>
            <w:r/>
            <w:r>
              <w:rPr>
                <w:rFonts w:ascii="Times New Roman" w:hAnsi="Times New Roman"/>
                <w:sz w:val="21"/>
              </w:rPr>
              <w:t>Regression-testing relevance</w:t>
            </w:r>
          </w:p>
        </w:tc>
        <w:tc>
          <w:tcPr>
            <w:tcW w:type="dxa" w:w="5760"/>
          </w:tcPr>
          <w:p>
            <w:r/>
            <w:r>
              <w:rPr>
                <w:rFonts w:ascii="Times New Roman" w:hAnsi="Times New Roman"/>
                <w:sz w:val="21"/>
              </w:rPr>
              <w:t>Whether and how the study supports regression testing, test selection, or prioritisation</w:t>
            </w:r>
          </w:p>
        </w:tc>
        <w:tc>
          <w:tcPr>
            <w:tcW w:type="dxa" w:w="1152"/>
          </w:tcPr>
          <w:p>
            <w:r/>
            <w:r>
              <w:rPr>
                <w:rFonts w:ascii="Times New Roman" w:hAnsi="Times New Roman"/>
                <w:sz w:val="21"/>
              </w:rPr>
              <w:t>RQ3</w:t>
            </w:r>
          </w:p>
        </w:tc>
      </w:tr>
      <w:tr>
        <w:tc>
          <w:tcPr>
            <w:tcW w:type="dxa" w:w="2448"/>
            <w:shd w:val="clear" w:fill="EFF4FA"/>
          </w:tcPr>
          <w:p>
            <w:r/>
            <w:r>
              <w:rPr>
                <w:rFonts w:ascii="Times New Roman" w:hAnsi="Times New Roman"/>
                <w:sz w:val="21"/>
              </w:rPr>
              <w:t>Benchmarks and tools</w:t>
            </w:r>
          </w:p>
        </w:tc>
        <w:tc>
          <w:tcPr>
            <w:tcW w:type="dxa" w:w="5760"/>
            <w:shd w:val="clear" w:fill="EFF4FA"/>
          </w:tcPr>
          <w:p>
            <w:r/>
            <w:r>
              <w:rPr>
                <w:rFonts w:ascii="Times New Roman" w:hAnsi="Times New Roman"/>
                <w:sz w:val="21"/>
              </w:rPr>
              <w:t>Benchmarks, datasets, subject compilers, and tool or artifact availability</w:t>
            </w:r>
          </w:p>
        </w:tc>
        <w:tc>
          <w:tcPr>
            <w:tcW w:type="dxa" w:w="1152"/>
            <w:shd w:val="clear" w:fill="EFF4FA"/>
          </w:tcPr>
          <w:p>
            <w:r/>
            <w:r>
              <w:rPr>
                <w:rFonts w:ascii="Times New Roman" w:hAnsi="Times New Roman"/>
                <w:sz w:val="21"/>
              </w:rPr>
              <w:t>RQ4</w:t>
            </w:r>
          </w:p>
        </w:tc>
      </w:tr>
      <w:tr>
        <w:tc>
          <w:tcPr>
            <w:tcW w:type="dxa" w:w="2448"/>
          </w:tcPr>
          <w:p>
            <w:r/>
            <w:r>
              <w:rPr>
                <w:rFonts w:ascii="Times New Roman" w:hAnsi="Times New Roman"/>
                <w:sz w:val="21"/>
              </w:rPr>
              <w:t>Open challenges</w:t>
            </w:r>
          </w:p>
        </w:tc>
        <w:tc>
          <w:tcPr>
            <w:tcW w:type="dxa" w:w="5760"/>
          </w:tcPr>
          <w:p>
            <w:r/>
            <w:r>
              <w:rPr>
                <w:rFonts w:ascii="Times New Roman" w:hAnsi="Times New Roman"/>
                <w:sz w:val="21"/>
              </w:rPr>
              <w:t>Limitations and open problems the study reports</w:t>
            </w:r>
          </w:p>
        </w:tc>
        <w:tc>
          <w:tcPr>
            <w:tcW w:type="dxa" w:w="1152"/>
          </w:tcPr>
          <w:p>
            <w:r/>
            <w:r>
              <w:rPr>
                <w:rFonts w:ascii="Times New Roman" w:hAnsi="Times New Roman"/>
                <w:sz w:val="21"/>
              </w:rPr>
              <w:t>RQ5</w:t>
            </w:r>
          </w:p>
        </w:tc>
      </w:tr>
    </w:tbl>
    <w:p>
      <w:r>
        <w:rPr>
          <w:rFonts w:ascii="Times New Roman" w:hAnsi="Times New Roman"/>
          <w:b/>
          <w:i w:val="0"/>
          <w:sz w:val="24"/>
        </w:rPr>
        <w:t>Data Synthesis.</w:t>
      </w:r>
    </w:p>
    <w:p>
      <w:r>
        <w:rPr>
          <w:rFonts w:ascii="Times New Roman" w:hAnsi="Times New Roman"/>
          <w:sz w:val="24"/>
        </w:rPr>
        <w:t>The included studies differ too much in technique, oracle, target compiler, and evaluation for a meta-analysis to make sense, so the evidence is drawn together qualitatively. The approach is thematic synthesis in the sense of Cruzes and Dyba [18]: extracted text is coded, the codes are gathered into themes that line up with the research questions, and the themes are then compared across studies. Three tables carry most of the weight. One classifies each study by technique, whether differential, metamorphic, fuzzing, equivalence-modulo-inputs, formal-verification, or benchmark-based, and so answers RQ1. A second sets each study's correctness oracle against the fault classes it can and cannot observe, which answers RQ2. The third maps technique against oracle against research question, and it is here that RQ3 to RQ5 are addressed, showing which studies actually tackle regression-test selection or prioritisation, what benchmarks and tools they lean on, and what is left unsolved. Around these tables the review states, question by question, what the evidence settles, where it disagrees, and what stays open. Because the method is fixed before the search runs, the eventual findings cannot be quietly shaped to fit the data.</w:t>
      </w:r>
    </w:p>
    <w:p>
      <w:r>
        <w:rPr>
          <w:rFonts w:ascii="Times New Roman" w:hAnsi="Times New Roman"/>
          <w:b/>
          <w:i w:val="0"/>
          <w:sz w:val="24"/>
        </w:rPr>
        <w:t>Threats to Validity.</w:t>
      </w:r>
    </w:p>
    <w:p>
      <w:r>
        <w:rPr>
          <w:rFonts w:ascii="Times New Roman" w:hAnsi="Times New Roman"/>
          <w:sz w:val="24"/>
        </w:rPr>
        <w:t>This protocol, and the review it will guide, face the usual threats. The search may miss papers that use vocabulary we did not anticipate; concept-based strings with synonyms, several databases, and forward and backward snowballing are meant to keep that loss small. Screening is a matter of judgement, so two reviewers work independently, agreement is held to at least 0.6, and a third reviewer breaks ties. There is also the familiar bias that striking or tool-backed results are the ones that get published, compounded here by databases that resist automated querying; including grey literature and arXiv preprints, and searching every database by hand where automation fails, is meant to stop tooling from skewing coverage. Classifying techniques and oracle limitations again calls for judgement, which the piloted form and the cross-checking are there to contain. Finally, because this is a qualitative mapping of techniques rather than a meta-analysis of interventions, a formal GRADE rating would not fit; instead, the confidence placed in each finding is stated in plain terms, according to how many independent studies support it and how well they score on quality (Table 6).</w:t>
      </w:r>
    </w:p>
    <w:p>
      <w:r>
        <w:rPr>
          <w:rFonts w:ascii="Times New Roman" w:hAnsi="Times New Roman"/>
          <w:b/>
          <w:i w:val="0"/>
          <w:sz w:val="24"/>
        </w:rPr>
        <w:t>Review Team, Timeline, and Dissemination.</w:t>
      </w:r>
    </w:p>
    <w:p>
      <w:r>
        <w:rPr>
          <w:rFonts w:ascii="Times New Roman" w:hAnsi="Times New Roman"/>
          <w:sz w:val="24"/>
        </w:rPr>
        <w:t>The work is shared across the author team. The lead author designs the protocol and carries out the searching, screening, extraction, and synthesis, while the two co-authors serve as the second reviewer and adjudicator and provide methodological oversight. We expect the full review to take about six months: roughly a month to finalise and register the protocol and run the search across all eight databases, two months for screening and full-text selection, two more for quality assessment, extraction, and synthesis, and a final month for writing and internal review. The finished review will go to a peer-reviewed software-engineering venue, and the protocol, the search exports, and the extraction records will be posted in the OSF repository so others can replicate the work.</w:t>
      </w:r>
    </w:p>
    <w:p>
      <w:r>
        <w:rPr>
          <w:rFonts w:ascii="Times New Roman" w:hAnsi="Times New Roman"/>
          <w:b/>
          <w:color w:val="14264F"/>
          <w:sz w:val="26"/>
        </w:rPr>
        <w:t>IV.  Conclusion and Future Work</w:t>
      </w:r>
    </w:p>
    <w:p>
      <w:pPr>
        <w:spacing w:after="120"/>
        <w:jc w:val="both"/>
      </w:pPr>
      <w:r>
        <w:rPr>
          <w:rFonts w:ascii="Times New Roman" w:hAnsi="Times New Roman"/>
          <w:sz w:val="24"/>
        </w:rPr>
        <w:t>This paper has set out a protocol for a systematic review of testing and regression testing in quantum software compilers. Built on Kitchenham's guidelines and the PRISMA standard, it fixes the research questions and objectives, the data sources and search strategy, the selection and quality criteria, the extraction plan, the synthesis method, and the threats to validity that a rigorous, reproducible review needs. Once it is carried out, the review should yield a classified map of compiler-testing techniques, an account of the correctness oracles in use and where they fall short, a catalogue of the benchmarks and tools available, and a clear statement of what remains open. Those results are intended as the evidence base for further work on testing the quantum compiler in a way that is both trustworthy and affordable.</w:t>
      </w:r>
    </w:p>
    <w:p>
      <w:r>
        <w:rPr>
          <w:rFonts w:ascii="Times New Roman" w:hAnsi="Times New Roman"/>
          <w:b/>
          <w:i w:val="0"/>
          <w:sz w:val="24"/>
        </w:rPr>
        <w:t xml:space="preserve">Funding. </w:t>
      </w:r>
      <w:r>
        <w:rPr>
          <w:rFonts w:ascii="Times New Roman" w:hAnsi="Times New Roman"/>
          <w:b w:val="0"/>
          <w:i w:val="0"/>
          <w:sz w:val="24"/>
        </w:rPr>
        <w:t>This research received no specific grant from any funding agency in the public, commercial, or not-for-profit sectors.</w:t>
      </w:r>
    </w:p>
    <w:p>
      <w:r>
        <w:rPr>
          <w:rFonts w:ascii="Times New Roman" w:hAnsi="Times New Roman"/>
          <w:b/>
          <w:sz w:val="24"/>
        </w:rPr>
        <w:t>Author Contributions.</w:t>
      </w:r>
      <w:r>
        <w:rPr>
          <w:rFonts w:ascii="Times New Roman" w:hAnsi="Times New Roman"/>
          <w:sz w:val="24"/>
        </w:rPr>
        <w:t xml:space="preserve"> F.N. designed the protocol, defined the research questions and search strategy, and drafted the manuscript. A.S. and I.A. contributed to the methodology, acted as second reviewer and adjudicator for study selection, and critically revised the manuscript. All authors read and approved the final protocol.</w:t>
      </w:r>
    </w:p>
    <w:p>
      <w:r>
        <w:rPr>
          <w:rFonts w:ascii="Times New Roman" w:hAnsi="Times New Roman"/>
          <w:b/>
          <w:i w:val="0"/>
          <w:sz w:val="24"/>
        </w:rPr>
        <w:t xml:space="preserve">Data Availability. </w:t>
      </w:r>
      <w:r>
        <w:rPr>
          <w:rFonts w:ascii="Times New Roman" w:hAnsi="Times New Roman"/>
          <w:b w:val="0"/>
          <w:i w:val="0"/>
          <w:sz w:val="24"/>
        </w:rPr>
        <w:t>The protocol, the full database-specific search strings, the screening decisions, and the data-extraction records are available in the Open Science Framework repository (DOI to be inserted on registration).</w:t>
      </w:r>
    </w:p>
    <w:p>
      <w:r>
        <w:rPr>
          <w:rFonts w:ascii="Times New Roman" w:hAnsi="Times New Roman"/>
          <w:b/>
          <w:color w:val="14264F"/>
          <w:sz w:val="26"/>
        </w:rPr>
        <w:t>References</w:t>
      </w:r>
    </w:p>
    <w:p>
      <w:pPr>
        <w:ind w:left="432" w:hanging="432"/>
      </w:pPr>
      <w:r>
        <w:rPr>
          <w:rFonts w:ascii="Times New Roman" w:hAnsi="Times New Roman"/>
          <w:color w:val="20242C"/>
          <w:sz w:val="21"/>
        </w:rPr>
        <w:t>[1]  B. Kitchenham and S. Charters, “Guidelines for performing systematic literature reviews in software engineering,” Technical Report EBSE-2007-01, Keele University and Durham University, 2007.</w:t>
      </w:r>
    </w:p>
    <w:p>
      <w:pPr>
        <w:ind w:left="432" w:hanging="432"/>
      </w:pPr>
      <w:r>
        <w:rPr>
          <w:rFonts w:ascii="Times New Roman" w:hAnsi="Times New Roman"/>
          <w:color w:val="20242C"/>
          <w:sz w:val="21"/>
        </w:rPr>
        <w:t>[2]  M. J. Page et al., “The PRISMA 2020 statement: an updated guideline for reporting systematic reviews,” BMJ, vol. 372, n71, 2021.</w:t>
      </w:r>
    </w:p>
    <w:p>
      <w:pPr>
        <w:ind w:left="432" w:hanging="432"/>
      </w:pPr>
      <w:r>
        <w:rPr>
          <w:rFonts w:ascii="Times New Roman" w:hAnsi="Times New Roman"/>
          <w:color w:val="20242C"/>
          <w:sz w:val="21"/>
        </w:rPr>
        <w:t>[3]  M. Paltenghi and M. Pradel, “A survey on testing and analysis of quantum software,” arXiv:2410.00650, 2024.</w:t>
      </w:r>
    </w:p>
    <w:p>
      <w:pPr>
        <w:ind w:left="432" w:hanging="432"/>
      </w:pPr>
      <w:r>
        <w:rPr>
          <w:rFonts w:ascii="Times New Roman" w:hAnsi="Times New Roman"/>
          <w:color w:val="20242C"/>
          <w:sz w:val="21"/>
        </w:rPr>
        <w:t>[4]  M. Paltenghi and M. Pradel, “Bugs in quantum computing platforms: an empirical study,” Proc. ACM Program. Lang. (OOPSLA), 2022.</w:t>
      </w:r>
    </w:p>
    <w:p>
      <w:pPr>
        <w:ind w:left="432" w:hanging="432"/>
      </w:pPr>
      <w:r>
        <w:rPr>
          <w:rFonts w:ascii="Times New Roman" w:hAnsi="Times New Roman"/>
          <w:color w:val="20242C"/>
          <w:sz w:val="21"/>
        </w:rPr>
        <w:t>[5]  M. Paltenghi and M. Pradel, “MorphQ: metamorphic testing of the Qiskit quantum computing platform,” in Proc. ICSE, 2023.</w:t>
      </w:r>
    </w:p>
    <w:p>
      <w:pPr>
        <w:ind w:left="432" w:hanging="432"/>
      </w:pPr>
      <w:r>
        <w:rPr>
          <w:rFonts w:ascii="Times New Roman" w:hAnsi="Times New Roman"/>
          <w:color w:val="20242C"/>
          <w:sz w:val="21"/>
        </w:rPr>
        <w:t>[6]  L. Burgholzer and R. Wille, “Advanced equivalence checking for quantum circuits,” IEEE Trans. Comput.-Aided Des. Integr. Circuits Syst., vol. 40, no. 9, pp. 1810–1824, 2021.</w:t>
      </w:r>
    </w:p>
    <w:p>
      <w:pPr>
        <w:ind w:left="432" w:hanging="432"/>
      </w:pPr>
      <w:r>
        <w:rPr>
          <w:rFonts w:ascii="Times New Roman" w:hAnsi="Times New Roman"/>
          <w:color w:val="20242C"/>
          <w:sz w:val="21"/>
        </w:rPr>
        <w:t>[7]  J. Wang, Q. Zhang, G. H. Xu, and M. Kim, “QDiff: differential testing of quantum software stacks,” in Proc. IEEE/ACM ASE, 2021.</w:t>
      </w:r>
    </w:p>
    <w:p>
      <w:pPr>
        <w:ind w:left="432" w:hanging="432"/>
      </w:pPr>
      <w:r>
        <w:rPr>
          <w:rFonts w:ascii="Times New Roman" w:hAnsi="Times New Roman"/>
          <w:color w:val="20242C"/>
          <w:sz w:val="21"/>
        </w:rPr>
        <w:t>[8]  G. Pontolillo et al., “QuCheck: a property-based testing framework for quantum programs in Qiskit,” arXiv:2503.22641, 2025.</w:t>
      </w:r>
    </w:p>
    <w:p>
      <w:pPr>
        <w:ind w:left="432" w:hanging="432"/>
      </w:pPr>
      <w:r>
        <w:rPr>
          <w:rFonts w:ascii="Times New Roman" w:hAnsi="Times New Roman"/>
          <w:color w:val="20242C"/>
          <w:sz w:val="21"/>
        </w:rPr>
        <w:t>[9]  S. Yoo and M. Harman, “Regression testing minimization, selection and prioritisation: a survey,” Softw. Test. Verif. Reliab., vol. 22, no. 2, pp. 67–120, 2012.</w:t>
      </w:r>
    </w:p>
    <w:p>
      <w:pPr>
        <w:ind w:left="432" w:hanging="432"/>
      </w:pPr>
      <w:r>
        <w:rPr>
          <w:rFonts w:ascii="Times New Roman" w:hAnsi="Times New Roman"/>
          <w:color w:val="20242C"/>
          <w:sz w:val="21"/>
        </w:rPr>
        <w:t>[10]  A. Javadi-Abhari et al., “Quantum computing with Qiskit,” arXiv:2405.08810, 2024.</w:t>
      </w:r>
    </w:p>
    <w:p>
      <w:pPr>
        <w:jc w:val="both"/>
      </w:pPr>
      <w:r>
        <w:rPr>
          <w:rFonts w:ascii="Times New Roman" w:hAnsi="Times New Roman" w:eastAsia="Times New Roman"/>
          <w:sz w:val="20"/>
        </w:rPr>
        <w:t>[11]  I. Iwumbwe, B. Z. Liu, and J. Wickerson, “QuteFuzz: fuzzing quantum compilers using randomly generated circuits with control flow and subcircuits,” in Proc. PLanQC, 2025.</w:t>
      </w:r>
    </w:p>
    <w:p>
      <w:pPr>
        <w:jc w:val="both"/>
      </w:pPr>
      <w:r>
        <w:rPr>
          <w:rFonts w:ascii="Times New Roman" w:hAnsi="Times New Roman" w:eastAsia="Times New Roman"/>
          <w:sz w:val="20"/>
        </w:rPr>
        <w:t>[12]  J. Luo, S. Xia, F. Zhang, and J. Zhao, “QEMI: a quantum software stacks testing framework via equivalence modulo inputs,” arXiv:2602.09942, 2026.</w:t>
      </w:r>
    </w:p>
    <w:p>
      <w:pPr>
        <w:jc w:val="both"/>
      </w:pPr>
      <w:r>
        <w:rPr>
          <w:rFonts w:ascii="Times New Roman" w:hAnsi="Times New Roman" w:eastAsia="Times New Roman"/>
          <w:sz w:val="20"/>
        </w:rPr>
        <w:t>[13]  R. Tao et al., “Giallar: push-button verification for the Qiskit quantum compiler,” in Proc. PLDI, 2022.</w:t>
      </w:r>
    </w:p>
    <w:p>
      <w:pPr>
        <w:jc w:val="both"/>
      </w:pPr>
      <w:r>
        <w:rPr>
          <w:rFonts w:ascii="Times New Roman" w:hAnsi="Times New Roman" w:eastAsia="Times New Roman"/>
          <w:sz w:val="20"/>
        </w:rPr>
        <w:t>[14]  Y. Shi et al., “CertiQ: a mostly-automated verification of a realistic quantum compiler,” arXiv:1908.08963, 2020.</w:t>
      </w:r>
    </w:p>
    <w:p>
      <w:pPr>
        <w:jc w:val="both"/>
      </w:pPr>
      <w:r>
        <w:rPr>
          <w:rFonts w:ascii="Times New Roman" w:hAnsi="Times New Roman" w:eastAsia="Times New Roman"/>
          <w:sz w:val="20"/>
        </w:rPr>
        <w:t>[15]  P. Zhao, J. Zhao, Z. Miao, and S. Lan, “Bugs4Q: a benchmark of real bugs for quantum programs,” in Proc. ASE-NIER, 2021.</w:t>
      </w:r>
    </w:p>
    <w:p>
      <w:r>
        <w:rPr>
          <w:rFonts w:ascii="Times New Roman" w:hAnsi="Times New Roman"/>
          <w:b w:val="0"/>
          <w:i w:val="0"/>
          <w:sz w:val="24"/>
        </w:rPr>
        <w:t>[16]  M. Ouzzani, H. Hammady, Z. Fedorowicz, and A. Elmagarmid, "Rayyan: a web and mobile app for systematic reviews," Systematic Reviews, vol. 5, art. 210, 2016.</w:t>
      </w:r>
    </w:p>
    <w:p>
      <w:r>
        <w:rPr>
          <w:rFonts w:ascii="Times New Roman" w:hAnsi="Times New Roman"/>
          <w:b w:val="0"/>
          <w:i w:val="0"/>
          <w:sz w:val="24"/>
        </w:rPr>
        <w:t>[17]  Corporation for Digital Scholarship, "Zotero (reference management software)," 2024. [Online]. Available: https://www.zotero.org</w:t>
      </w:r>
    </w:p>
    <w:p>
      <w:r>
        <w:rPr>
          <w:rFonts w:ascii="Times New Roman" w:hAnsi="Times New Roman"/>
          <w:b w:val="0"/>
          <w:i w:val="0"/>
          <w:sz w:val="24"/>
        </w:rPr>
        <w:t>[18]  D. S. Cruzes and T. Dyba, "Recommended steps for thematic synthesis in software engineering," in Proc. Int. Symp. Empirical Software Engineering and Measurement (ESEM), 2011, pp. 275-284.</w:t>
      </w:r>
    </w:p>
    <w:p>
      <w:r>
        <w:rPr>
          <w:rFonts w:ascii="Times New Roman" w:hAnsi="Times New Roman"/>
          <w:b w:val="0"/>
          <w:i w:val="0"/>
          <w:sz w:val="24"/>
        </w:rPr>
        <w:t>[19]  C. Wohlin, "Guidelines for snowballing in systematic literature studies and a replication in software engineering," in Proc. Int. Conf. Evaluation and Assessment in Software Engineering (EASE), 2014, pp. 1-10.</w:t>
      </w:r>
    </w:p>
    <w:p>
      <w:r>
        <w:rPr>
          <w:rFonts w:ascii="Times New Roman" w:hAnsi="Times New Roman"/>
          <w:b w:val="0"/>
          <w:i w:val="0"/>
          <w:sz w:val="24"/>
        </w:rPr>
        <w:t>[20]  J. Cohen, "A coefficient of agreement for nominal scales," Educational and Psychological Measurement, vol. 20, no. 1, pp. 37-46, 1960.</w:t>
      </w:r>
    </w:p>
    <w:p>
      <w:r>
        <w:rPr>
          <w:rFonts w:ascii="Times New Roman" w:hAnsi="Times New Roman"/>
          <w:b w:val="0"/>
          <w:i w:val="0"/>
          <w:sz w:val="24"/>
        </w:rPr>
        <w:t>[21]  J. L. Fleiss, "Measuring nominal scale agreement among many raters," Psychological Bulletin, vol. 76, no. 5, pp. 378-382, 1971.</w:t>
      </w:r>
    </w:p>
    <w:p>
      <w:pPr>
        <w:spacing w:after="0" w:before="0" w:line="240" w:lineRule="auto"/>
      </w:pPr>
    </w:p>
    <w:p>
      <w:r>
        <w:rPr>
          <w:rFonts w:ascii="Times New Roman" w:hAnsi="Times New Roman"/>
          <w:b/>
          <w:i w:val="0"/>
          <w:sz w:val="24"/>
        </w:rPr>
        <w:t>Appendix A. PRISMA-P 2015 Compliance</w:t>
      </w:r>
    </w:p>
    <w:p>
      <w:r>
        <w:rPr>
          <w:rFonts w:ascii="Times New Roman" w:hAnsi="Times New Roman"/>
          <w:b w:val="0"/>
          <w:i w:val="0"/>
          <w:sz w:val="24"/>
        </w:rPr>
        <w:t>Table 9 maps each item of the PRISMA-P 2015 reporting checklist to the section of this protocol where it is addressed.</w:t>
      </w:r>
    </w:p>
    <w:p>
      <w:pPr>
        <w:jc w:val="center"/>
      </w:pPr>
      <w:r>
        <w:rPr>
          <w:rFonts w:ascii="Times New Roman" w:hAnsi="Times New Roman"/>
          <w:b/>
          <w:i w:val="0"/>
          <w:sz w:val="24"/>
        </w:rPr>
        <w:t>Table 9: PRISMA-P 2015 checklist mapping</w:t>
      </w:r>
    </w:p>
    <w:tbl>
      <w:tblPr>
        <w:tblStyle w:val="TableGrid"/>
        <w:tblW w:type="auto" w:w="0"/>
        <w:jc w:val="center"/>
        <w:tblLook w:firstColumn="1" w:firstRow="1" w:lastColumn="0" w:lastRow="0" w:noHBand="0" w:noVBand="1" w:val="04A0"/>
      </w:tblPr>
      <w:tblGrid>
        <w:gridCol w:w="4608"/>
        <w:gridCol w:w="4608"/>
      </w:tblGrid>
      <w:tr>
        <w:tc>
          <w:tcPr>
            <w:tcW w:type="dxa" w:w="3888"/>
            <w:shd w:val="clear" w:fill="14264F"/>
          </w:tcPr>
          <w:p>
            <w:r/>
            <w:r>
              <w:rPr>
                <w:rFonts w:ascii="Times New Roman" w:hAnsi="Times New Roman"/>
                <w:b/>
                <w:color w:val="FFFFFF"/>
                <w:sz w:val="20"/>
              </w:rPr>
              <w:t>PRISMA-P item</w:t>
            </w:r>
          </w:p>
        </w:tc>
        <w:tc>
          <w:tcPr>
            <w:tcW w:type="dxa" w:w="5472"/>
            <w:shd w:val="clear" w:fill="14264F"/>
          </w:tcPr>
          <w:p>
            <w:r/>
            <w:r>
              <w:rPr>
                <w:rFonts w:ascii="Times New Roman" w:hAnsi="Times New Roman"/>
                <w:b/>
                <w:color w:val="FFFFFF"/>
                <w:sz w:val="20"/>
              </w:rPr>
              <w:t>Where addressed in this protocol</w:t>
            </w:r>
          </w:p>
        </w:tc>
      </w:tr>
      <w:tr>
        <w:tc>
          <w:tcPr>
            <w:tcW w:type="dxa" w:w="3888"/>
          </w:tcPr>
          <w:p>
            <w:r/>
            <w:r>
              <w:rPr>
                <w:rFonts w:ascii="Times New Roman" w:hAnsi="Times New Roman"/>
                <w:sz w:val="20"/>
              </w:rPr>
              <w:t>1a Title - identification</w:t>
            </w:r>
          </w:p>
        </w:tc>
        <w:tc>
          <w:tcPr>
            <w:tcW w:type="dxa" w:w="5472"/>
          </w:tcPr>
          <w:p>
            <w:r/>
            <w:r>
              <w:rPr>
                <w:rFonts w:ascii="Times New Roman" w:hAnsi="Times New Roman"/>
                <w:sz w:val="20"/>
              </w:rPr>
              <w:t>Title (identified as a review protocol)</w:t>
            </w:r>
          </w:p>
        </w:tc>
      </w:tr>
      <w:tr>
        <w:tc>
          <w:tcPr>
            <w:tcW w:type="dxa" w:w="3888"/>
            <w:shd w:val="clear" w:fill="EFF4FA"/>
          </w:tcPr>
          <w:p>
            <w:r/>
            <w:r>
              <w:rPr>
                <w:rFonts w:ascii="Times New Roman" w:hAnsi="Times New Roman"/>
                <w:sz w:val="20"/>
              </w:rPr>
              <w:t>1b Title - update</w:t>
            </w:r>
          </w:p>
        </w:tc>
        <w:tc>
          <w:tcPr>
            <w:tcW w:type="dxa" w:w="5472"/>
            <w:shd w:val="clear" w:fill="EFF4FA"/>
          </w:tcPr>
          <w:p>
            <w:r/>
            <w:r>
              <w:rPr>
                <w:rFonts w:ascii="Times New Roman" w:hAnsi="Times New Roman"/>
                <w:sz w:val="20"/>
              </w:rPr>
              <w:t>Not applicable (new review)</w:t>
            </w:r>
          </w:p>
        </w:tc>
      </w:tr>
      <w:tr>
        <w:tc>
          <w:tcPr>
            <w:tcW w:type="dxa" w:w="3888"/>
          </w:tcPr>
          <w:p>
            <w:r/>
            <w:r>
              <w:rPr>
                <w:rFonts w:ascii="Times New Roman" w:hAnsi="Times New Roman"/>
                <w:sz w:val="20"/>
              </w:rPr>
              <w:t>2 Registration</w:t>
            </w:r>
          </w:p>
        </w:tc>
        <w:tc>
          <w:tcPr>
            <w:tcW w:type="dxa" w:w="5472"/>
          </w:tcPr>
          <w:p>
            <w:r/>
            <w:r>
              <w:rPr>
                <w:rFonts w:ascii="Times New Roman" w:hAnsi="Times New Roman"/>
                <w:sz w:val="20"/>
              </w:rPr>
              <w:t>Protocol Registration and Amendments (OSF)</w:t>
            </w:r>
          </w:p>
        </w:tc>
      </w:tr>
      <w:tr>
        <w:tc>
          <w:tcPr>
            <w:tcW w:type="dxa" w:w="3888"/>
            <w:shd w:val="clear" w:fill="EFF4FA"/>
          </w:tcPr>
          <w:p>
            <w:r/>
            <w:r>
              <w:rPr>
                <w:rFonts w:ascii="Times New Roman" w:hAnsi="Times New Roman"/>
                <w:sz w:val="20"/>
              </w:rPr>
              <w:t>3a Authors - contact</w:t>
            </w:r>
          </w:p>
        </w:tc>
        <w:tc>
          <w:tcPr>
            <w:tcW w:type="dxa" w:w="5472"/>
            <w:shd w:val="clear" w:fill="EFF4FA"/>
          </w:tcPr>
          <w:p>
            <w:r/>
            <w:r>
              <w:rPr>
                <w:rFonts w:ascii="Times New Roman" w:hAnsi="Times New Roman"/>
                <w:sz w:val="20"/>
              </w:rPr>
              <w:t>Author block</w:t>
            </w:r>
          </w:p>
        </w:tc>
      </w:tr>
      <w:tr>
        <w:tc>
          <w:tcPr>
            <w:tcW w:type="dxa" w:w="3888"/>
          </w:tcPr>
          <w:p>
            <w:r/>
            <w:r>
              <w:rPr>
                <w:rFonts w:ascii="Times New Roman" w:hAnsi="Times New Roman"/>
                <w:sz w:val="20"/>
              </w:rPr>
              <w:t>3b Authors - contributions</w:t>
            </w:r>
          </w:p>
        </w:tc>
        <w:tc>
          <w:tcPr>
            <w:tcW w:type="dxa" w:w="5472"/>
          </w:tcPr>
          <w:p>
            <w:r/>
            <w:r>
              <w:rPr>
                <w:rFonts w:ascii="Times New Roman" w:hAnsi="Times New Roman"/>
                <w:sz w:val="20"/>
              </w:rPr>
              <w:t>Author Contributions</w:t>
            </w:r>
          </w:p>
        </w:tc>
      </w:tr>
      <w:tr>
        <w:tc>
          <w:tcPr>
            <w:tcW w:type="dxa" w:w="3888"/>
            <w:shd w:val="clear" w:fill="EFF4FA"/>
          </w:tcPr>
          <w:p>
            <w:r/>
            <w:r>
              <w:rPr>
                <w:rFonts w:ascii="Times New Roman" w:hAnsi="Times New Roman"/>
                <w:sz w:val="20"/>
              </w:rPr>
              <w:t>4 Amendments</w:t>
            </w:r>
          </w:p>
        </w:tc>
        <w:tc>
          <w:tcPr>
            <w:tcW w:type="dxa" w:w="5472"/>
            <w:shd w:val="clear" w:fill="EFF4FA"/>
          </w:tcPr>
          <w:p>
            <w:r/>
            <w:r>
              <w:rPr>
                <w:rFonts w:ascii="Times New Roman" w:hAnsi="Times New Roman"/>
                <w:sz w:val="20"/>
              </w:rPr>
              <w:t>Protocol Registration and Amendments</w:t>
            </w:r>
          </w:p>
        </w:tc>
      </w:tr>
      <w:tr>
        <w:tc>
          <w:tcPr>
            <w:tcW w:type="dxa" w:w="3888"/>
          </w:tcPr>
          <w:p>
            <w:r/>
            <w:r>
              <w:rPr>
                <w:rFonts w:ascii="Times New Roman" w:hAnsi="Times New Roman"/>
                <w:sz w:val="20"/>
              </w:rPr>
              <w:t>5 Support / funding</w:t>
            </w:r>
          </w:p>
        </w:tc>
        <w:tc>
          <w:tcPr>
            <w:tcW w:type="dxa" w:w="5472"/>
          </w:tcPr>
          <w:p>
            <w:r/>
            <w:r>
              <w:rPr>
                <w:rFonts w:ascii="Times New Roman" w:hAnsi="Times New Roman"/>
                <w:sz w:val="20"/>
              </w:rPr>
              <w:t>Funding</w:t>
            </w:r>
          </w:p>
        </w:tc>
      </w:tr>
      <w:tr>
        <w:tc>
          <w:tcPr>
            <w:tcW w:type="dxa" w:w="3888"/>
            <w:shd w:val="clear" w:fill="EFF4FA"/>
          </w:tcPr>
          <w:p>
            <w:r/>
            <w:r>
              <w:rPr>
                <w:rFonts w:ascii="Times New Roman" w:hAnsi="Times New Roman"/>
                <w:sz w:val="20"/>
              </w:rPr>
              <w:t>6 Rationale</w:t>
            </w:r>
          </w:p>
        </w:tc>
        <w:tc>
          <w:tcPr>
            <w:tcW w:type="dxa" w:w="5472"/>
            <w:shd w:val="clear" w:fill="EFF4FA"/>
          </w:tcPr>
          <w:p>
            <w:r/>
            <w:r>
              <w:rPr>
                <w:rFonts w:ascii="Times New Roman" w:hAnsi="Times New Roman"/>
                <w:sz w:val="20"/>
              </w:rPr>
              <w:t>Section I, Introduction</w:t>
            </w:r>
          </w:p>
        </w:tc>
      </w:tr>
      <w:tr>
        <w:tc>
          <w:tcPr>
            <w:tcW w:type="dxa" w:w="3888"/>
          </w:tcPr>
          <w:p>
            <w:r/>
            <w:r>
              <w:rPr>
                <w:rFonts w:ascii="Times New Roman" w:hAnsi="Times New Roman"/>
                <w:sz w:val="20"/>
              </w:rPr>
              <w:t>7 Objectives</w:t>
            </w:r>
          </w:p>
        </w:tc>
        <w:tc>
          <w:tcPr>
            <w:tcW w:type="dxa" w:w="5472"/>
          </w:tcPr>
          <w:p>
            <w:r/>
            <w:r>
              <w:rPr>
                <w:rFonts w:ascii="Times New Roman" w:hAnsi="Times New Roman"/>
                <w:sz w:val="20"/>
              </w:rPr>
              <w:t>Research Questions (Table 1); Objectives (Table 2)</w:t>
            </w:r>
          </w:p>
        </w:tc>
      </w:tr>
      <w:tr>
        <w:tc>
          <w:tcPr>
            <w:tcW w:type="dxa" w:w="3888"/>
            <w:shd w:val="clear" w:fill="EFF4FA"/>
          </w:tcPr>
          <w:p>
            <w:r/>
            <w:r>
              <w:rPr>
                <w:rFonts w:ascii="Times New Roman" w:hAnsi="Times New Roman"/>
                <w:sz w:val="20"/>
              </w:rPr>
              <w:t>8 Eligibility criteria</w:t>
            </w:r>
          </w:p>
        </w:tc>
        <w:tc>
          <w:tcPr>
            <w:tcW w:type="dxa" w:w="5472"/>
            <w:shd w:val="clear" w:fill="EFF4FA"/>
          </w:tcPr>
          <w:p>
            <w:r/>
            <w:r>
              <w:rPr>
                <w:rFonts w:ascii="Times New Roman" w:hAnsi="Times New Roman"/>
                <w:sz w:val="20"/>
              </w:rPr>
              <w:t>Inclusion / Exclusion Criteria (Table 5)</w:t>
            </w:r>
          </w:p>
        </w:tc>
      </w:tr>
      <w:tr>
        <w:tc>
          <w:tcPr>
            <w:tcW w:type="dxa" w:w="3888"/>
          </w:tcPr>
          <w:p>
            <w:r/>
            <w:r>
              <w:rPr>
                <w:rFonts w:ascii="Times New Roman" w:hAnsi="Times New Roman"/>
                <w:sz w:val="20"/>
              </w:rPr>
              <w:t>9 Information sources</w:t>
            </w:r>
          </w:p>
        </w:tc>
        <w:tc>
          <w:tcPr>
            <w:tcW w:type="dxa" w:w="5472"/>
          </w:tcPr>
          <w:p>
            <w:r/>
            <w:r>
              <w:rPr>
                <w:rFonts w:ascii="Times New Roman" w:hAnsi="Times New Roman"/>
                <w:sz w:val="20"/>
              </w:rPr>
              <w:t>Data Sources (Table 3)</w:t>
            </w:r>
          </w:p>
        </w:tc>
      </w:tr>
      <w:tr>
        <w:tc>
          <w:tcPr>
            <w:tcW w:type="dxa" w:w="3888"/>
            <w:shd w:val="clear" w:fill="EFF4FA"/>
          </w:tcPr>
          <w:p>
            <w:r/>
            <w:r>
              <w:rPr>
                <w:rFonts w:ascii="Times New Roman" w:hAnsi="Times New Roman"/>
                <w:sz w:val="20"/>
              </w:rPr>
              <w:t>10 Search strategy</w:t>
            </w:r>
          </w:p>
        </w:tc>
        <w:tc>
          <w:tcPr>
            <w:tcW w:type="dxa" w:w="5472"/>
            <w:shd w:val="clear" w:fill="EFF4FA"/>
          </w:tcPr>
          <w:p>
            <w:r/>
            <w:r>
              <w:rPr>
                <w:rFonts w:ascii="Times New Roman" w:hAnsi="Times New Roman"/>
                <w:sz w:val="20"/>
              </w:rPr>
              <w:t>Search Strategy and Search Procedure (Table 4; IEEE query)</w:t>
            </w:r>
          </w:p>
        </w:tc>
      </w:tr>
      <w:tr>
        <w:tc>
          <w:tcPr>
            <w:tcW w:type="dxa" w:w="3888"/>
          </w:tcPr>
          <w:p>
            <w:r/>
            <w:r>
              <w:rPr>
                <w:rFonts w:ascii="Times New Roman" w:hAnsi="Times New Roman"/>
                <w:sz w:val="20"/>
              </w:rPr>
              <w:t>11a Data management</w:t>
            </w:r>
          </w:p>
        </w:tc>
        <w:tc>
          <w:tcPr>
            <w:tcW w:type="dxa" w:w="5472"/>
          </w:tcPr>
          <w:p>
            <w:r/>
            <w:r>
              <w:rPr>
                <w:rFonts w:ascii="Times New Roman" w:hAnsi="Times New Roman"/>
                <w:sz w:val="20"/>
              </w:rPr>
              <w:t>Selection Procedure and Reliability (Zotero, Rayyan)</w:t>
            </w:r>
          </w:p>
        </w:tc>
      </w:tr>
      <w:tr>
        <w:tc>
          <w:tcPr>
            <w:tcW w:type="dxa" w:w="3888"/>
            <w:shd w:val="clear" w:fill="EFF4FA"/>
          </w:tcPr>
          <w:p>
            <w:r/>
            <w:r>
              <w:rPr>
                <w:rFonts w:ascii="Times New Roman" w:hAnsi="Times New Roman"/>
                <w:sz w:val="20"/>
              </w:rPr>
              <w:t>11b Selection process</w:t>
            </w:r>
          </w:p>
        </w:tc>
        <w:tc>
          <w:tcPr>
            <w:tcW w:type="dxa" w:w="5472"/>
            <w:shd w:val="clear" w:fill="EFF4FA"/>
          </w:tcPr>
          <w:p>
            <w:r/>
            <w:r>
              <w:rPr>
                <w:rFonts w:ascii="Times New Roman" w:hAnsi="Times New Roman"/>
                <w:sz w:val="20"/>
              </w:rPr>
              <w:t>Selection Procedure and Reliability; Figure 1</w:t>
            </w:r>
          </w:p>
        </w:tc>
      </w:tr>
      <w:tr>
        <w:tc>
          <w:tcPr>
            <w:tcW w:type="dxa" w:w="3888"/>
          </w:tcPr>
          <w:p>
            <w:r/>
            <w:r>
              <w:rPr>
                <w:rFonts w:ascii="Times New Roman" w:hAnsi="Times New Roman"/>
                <w:sz w:val="20"/>
              </w:rPr>
              <w:t>11c Data collection process</w:t>
            </w:r>
          </w:p>
        </w:tc>
        <w:tc>
          <w:tcPr>
            <w:tcW w:type="dxa" w:w="5472"/>
          </w:tcPr>
          <w:p>
            <w:r/>
            <w:r>
              <w:rPr>
                <w:rFonts w:ascii="Times New Roman" w:hAnsi="Times New Roman"/>
                <w:sz w:val="20"/>
              </w:rPr>
              <w:t>Selection Procedure and Reliability; Data Extraction</w:t>
            </w:r>
          </w:p>
        </w:tc>
      </w:tr>
      <w:tr>
        <w:tc>
          <w:tcPr>
            <w:tcW w:type="dxa" w:w="3888"/>
            <w:shd w:val="clear" w:fill="EFF4FA"/>
          </w:tcPr>
          <w:p>
            <w:r/>
            <w:r>
              <w:rPr>
                <w:rFonts w:ascii="Times New Roman" w:hAnsi="Times New Roman"/>
                <w:sz w:val="20"/>
              </w:rPr>
              <w:t>12 Data items</w:t>
            </w:r>
          </w:p>
        </w:tc>
        <w:tc>
          <w:tcPr>
            <w:tcW w:type="dxa" w:w="5472"/>
            <w:shd w:val="clear" w:fill="EFF4FA"/>
          </w:tcPr>
          <w:p>
            <w:r/>
            <w:r>
              <w:rPr>
                <w:rFonts w:ascii="Times New Roman" w:hAnsi="Times New Roman"/>
                <w:sz w:val="20"/>
              </w:rPr>
              <w:t>Data Extraction (Table 7)</w:t>
            </w:r>
          </w:p>
        </w:tc>
      </w:tr>
      <w:tr>
        <w:tc>
          <w:tcPr>
            <w:tcW w:type="dxa" w:w="3888"/>
          </w:tcPr>
          <w:p>
            <w:r/>
            <w:r>
              <w:rPr>
                <w:rFonts w:ascii="Times New Roman" w:hAnsi="Times New Roman"/>
                <w:sz w:val="20"/>
              </w:rPr>
              <w:t>13 Outcomes and prioritization</w:t>
            </w:r>
          </w:p>
        </w:tc>
        <w:tc>
          <w:tcPr>
            <w:tcW w:type="dxa" w:w="5472"/>
          </w:tcPr>
          <w:p>
            <w:r/>
            <w:r>
              <w:rPr>
                <w:rFonts w:ascii="Times New Roman" w:hAnsi="Times New Roman"/>
                <w:sz w:val="20"/>
              </w:rPr>
              <w:t>Outcomes and data-item prioritization</w:t>
            </w:r>
          </w:p>
        </w:tc>
      </w:tr>
      <w:tr>
        <w:tc>
          <w:tcPr>
            <w:tcW w:type="dxa" w:w="3888"/>
            <w:shd w:val="clear" w:fill="EFF4FA"/>
          </w:tcPr>
          <w:p>
            <w:r/>
            <w:r>
              <w:rPr>
                <w:rFonts w:ascii="Times New Roman" w:hAnsi="Times New Roman"/>
                <w:sz w:val="20"/>
              </w:rPr>
              <w:t>14 Risk of bias in individual studies</w:t>
            </w:r>
          </w:p>
        </w:tc>
        <w:tc>
          <w:tcPr>
            <w:tcW w:type="dxa" w:w="5472"/>
            <w:shd w:val="clear" w:fill="EFF4FA"/>
          </w:tcPr>
          <w:p>
            <w:r/>
            <w:r>
              <w:rPr>
                <w:rFonts w:ascii="Times New Roman" w:hAnsi="Times New Roman"/>
                <w:sz w:val="20"/>
              </w:rPr>
              <w:t>Quality Assessment (Table 6; QA1-QA6)</w:t>
            </w:r>
          </w:p>
        </w:tc>
      </w:tr>
      <w:tr>
        <w:tc>
          <w:tcPr>
            <w:tcW w:type="dxa" w:w="3888"/>
          </w:tcPr>
          <w:p>
            <w:r/>
            <w:r>
              <w:rPr>
                <w:rFonts w:ascii="Times New Roman" w:hAnsi="Times New Roman"/>
                <w:sz w:val="20"/>
              </w:rPr>
              <w:t>15 Data synthesis</w:t>
            </w:r>
          </w:p>
        </w:tc>
        <w:tc>
          <w:tcPr>
            <w:tcW w:type="dxa" w:w="5472"/>
          </w:tcPr>
          <w:p>
            <w:r/>
            <w:r>
              <w:rPr>
                <w:rFonts w:ascii="Times New Roman" w:hAnsi="Times New Roman"/>
                <w:sz w:val="20"/>
              </w:rPr>
              <w:t>Data Synthesis</w:t>
            </w:r>
          </w:p>
        </w:tc>
      </w:tr>
      <w:tr>
        <w:tc>
          <w:tcPr>
            <w:tcW w:type="dxa" w:w="3888"/>
            <w:shd w:val="clear" w:fill="EFF4FA"/>
          </w:tcPr>
          <w:p>
            <w:r/>
            <w:r>
              <w:rPr>
                <w:rFonts w:ascii="Times New Roman" w:hAnsi="Times New Roman"/>
                <w:sz w:val="20"/>
              </w:rPr>
              <w:t>16 Meta-bias(es)</w:t>
            </w:r>
          </w:p>
        </w:tc>
        <w:tc>
          <w:tcPr>
            <w:tcW w:type="dxa" w:w="5472"/>
            <w:shd w:val="clear" w:fill="EFF4FA"/>
          </w:tcPr>
          <w:p>
            <w:r/>
            <w:r>
              <w:rPr>
                <w:rFonts w:ascii="Times New Roman" w:hAnsi="Times New Roman"/>
                <w:sz w:val="20"/>
              </w:rPr>
              <w:t>Threats to Validity</w:t>
            </w:r>
          </w:p>
        </w:tc>
      </w:tr>
      <w:tr>
        <w:tc>
          <w:tcPr>
            <w:tcW w:type="dxa" w:w="3888"/>
          </w:tcPr>
          <w:p>
            <w:r/>
            <w:r>
              <w:rPr>
                <w:rFonts w:ascii="Times New Roman" w:hAnsi="Times New Roman"/>
                <w:sz w:val="20"/>
              </w:rPr>
              <w:t>17 Confidence in cumulative evidence</w:t>
            </w:r>
          </w:p>
        </w:tc>
        <w:tc>
          <w:tcPr>
            <w:tcW w:type="dxa" w:w="5472"/>
          </w:tcPr>
          <w:p>
            <w:r/>
            <w:r>
              <w:rPr>
                <w:rFonts w:ascii="Times New Roman" w:hAnsi="Times New Roman"/>
                <w:sz w:val="20"/>
              </w:rPr>
              <w:t>Threats to Validity (narrative; GRADE not applicable)</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