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color w:val="14264F"/>
          <w:sz w:val="32"/>
        </w:rPr>
        <w:t>SLR — Preliminary Search Results and Data Extraction</w:t>
      </w:r>
    </w:p>
    <w:p>
      <w:r>
        <w:rPr>
          <w:rFonts w:ascii="Times New Roman" w:hAnsi="Times New Roman"/>
          <w:b w:val="0"/>
          <w:i/>
          <w:color w:val="5A6780"/>
          <w:sz w:val="22"/>
        </w:rPr>
        <w:t>Working material for the full Systematic Literature Review (not part of the protocol paper)</w:t>
      </w:r>
    </w:p>
    <w:p>
      <w:r>
        <w:rPr>
          <w:rFonts w:ascii="Times New Roman" w:hAnsi="Times New Roman"/>
          <w:b w:val="0"/>
          <w:i w:val="0"/>
          <w:color w:val="1E2A44"/>
          <w:sz w:val="21"/>
        </w:rPr>
        <w:t>This document holds the executed pilot output that was moved out of the SLR protocol paper: the preliminary search funnel, the primary studies found, their quality-assessment scores, and the completed data extraction. It is retained here as the seed for the full SLR so the work does not need to be repeated. When the full search across all eight databases is run, these tables are extended to the complete study set.</w:t>
      </w:r>
    </w:p>
    <w:p>
      <w:r>
        <w:rPr>
          <w:rFonts w:ascii="Times New Roman" w:hAnsi="Times New Roman"/>
          <w:b/>
          <w:i w:val="0"/>
          <w:color w:val="14264F"/>
          <w:sz w:val="26"/>
        </w:rPr>
        <w:t>Preliminary Search Results</w:t>
      </w:r>
    </w:p>
    <w:p>
      <w:r>
        <w:rPr>
          <w:rFonts w:ascii="Times New Roman" w:hAnsi="Times New Roman"/>
          <w:b w:val="0"/>
          <w:i w:val="0"/>
          <w:sz w:val="22"/>
        </w:rPr>
        <w:t>A preliminary execution of the search strategy was carried out on 9 July 2026. Of the eight planned databases, three could be queried automatically in this run: IEEE Xplore (151 records), SpringerLink (4,483 records), and arXiv (539 records); the ACM Digital Library, ScienceDirect, Scopus, Web of Science, and Google Scholar could not be accessed automatically because of subscription or bot-protection barriers, and will be searched in the full review. This gave 5,173 records; after removing 20 duplicates, 5,153 were screened on title and abstract. The screening stage deliberately applied the scope of the review strictly: records were excluded when they were not about quantum compiler/transpiler testing, were hardware-, physics-, or algorithm-focused, discussed compiler optimisation without testing/oracle/verification, or lacked a described method. As a result, 5,143 records were excluded at title-and-abstract screening and 10 full texts were assessed against the inclusion/exclusion and quality criteria. Three full texts were excluded, yielding seven primary studies (Figure 1, Table 8). Notably, the preliminary search found no dedicated regression-testing or test-selection framework for quantum compilers: existing work targets bug detection through differential, metamorphic, fuzzing, equivalence-modulo-inputs, or formal-verification techniques. This confirms regression testing of the quantum compiler as an open research gap (RQ3, RQ5).</w:t>
      </w:r>
    </w:p>
    <w:p>
      <w:pPr>
        <w:jc w:val="center"/>
      </w:pPr>
      <w:r>
        <w:rPr>
          <w:rFonts w:ascii="Times New Roman" w:hAnsi="Times New Roman"/>
          <w:b/>
          <w:i w:val="0"/>
          <w:sz w:val="20"/>
        </w:rPr>
        <w:t>Figure: Study selection funnel (preliminary search, PRISMA-based).</w:t>
      </w:r>
    </w:p>
    <w:p>
      <w:pPr>
        <w:jc w:val="center"/>
      </w:pPr>
      <w:r>
        <w:drawing>
          <wp:inline xmlns:a="http://schemas.openxmlformats.org/drawingml/2006/main" xmlns:pic="http://schemas.openxmlformats.org/drawingml/2006/picture">
            <wp:extent cx="5120640" cy="3413760"/>
            <wp:docPr id="1" name="Picture 1"/>
            <wp:cNvGraphicFramePr>
              <a:graphicFrameLocks noChangeAspect="1"/>
            </wp:cNvGraphicFramePr>
            <a:graphic>
              <a:graphicData uri="http://schemas.openxmlformats.org/drawingml/2006/picture">
                <pic:pic>
                  <pic:nvPicPr>
                    <pic:cNvPr id="0" name="shown_img2.png"/>
                    <pic:cNvPicPr/>
                  </pic:nvPicPr>
                  <pic:blipFill>
                    <a:blip r:embed="rId9"/>
                    <a:stretch>
                      <a:fillRect/>
                    </a:stretch>
                  </pic:blipFill>
                  <pic:spPr>
                    <a:xfrm>
                      <a:off x="0" y="0"/>
                      <a:ext cx="5120640" cy="3413760"/>
                    </a:xfrm>
                    <a:prstGeom prst="rect"/>
                  </pic:spPr>
                </pic:pic>
              </a:graphicData>
            </a:graphic>
          </wp:inline>
        </w:drawing>
      </w:r>
    </w:p>
    <w:p>
      <w:r>
        <w:rPr>
          <w:rFonts w:ascii="Times New Roman" w:hAnsi="Times New Roman"/>
          <w:b/>
          <w:i w:val="0"/>
          <w:color w:val="14264F"/>
          <w:sz w:val="26"/>
        </w:rPr>
        <w:t>Primary Studies Identified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fill="14264F"/>
          </w:tcPr>
          <w:p>
            <w:r/>
            <w:r>
              <w:rPr>
                <w:rFonts w:ascii="Times New Roman" w:hAnsi="Times New Roman"/>
                <w:b/>
                <w:color w:val="FFFFFF"/>
                <w:sz w:val="18"/>
              </w:rPr>
              <w:t>ID</w:t>
            </w:r>
          </w:p>
        </w:tc>
        <w:tc>
          <w:tcPr>
            <w:tcW w:type="dxa" w:w="4176"/>
            <w:shd w:val="clear" w:fill="14264F"/>
          </w:tcPr>
          <w:p>
            <w:r/>
            <w:r>
              <w:rPr>
                <w:rFonts w:ascii="Times New Roman" w:hAnsi="Times New Roman"/>
                <w:b/>
                <w:color w:val="FFFFFF"/>
                <w:sz w:val="18"/>
              </w:rPr>
              <w:t>Primary study (authors, year, venue)</w:t>
            </w:r>
          </w:p>
        </w:tc>
        <w:tc>
          <w:tcPr>
            <w:tcW w:type="dxa" w:w="2448"/>
            <w:shd w:val="clear" w:fill="14264F"/>
          </w:tcPr>
          <w:p>
            <w:r/>
            <w:r>
              <w:rPr>
                <w:rFonts w:ascii="Times New Roman" w:hAnsi="Times New Roman"/>
                <w:b/>
                <w:color w:val="FFFFFF"/>
                <w:sz w:val="18"/>
              </w:rPr>
              <w:t>Testing technique</w:t>
            </w:r>
          </w:p>
        </w:tc>
        <w:tc>
          <w:tcPr>
            <w:tcW w:type="dxa" w:w="1872"/>
            <w:shd w:val="clear" w:fill="14264F"/>
          </w:tcPr>
          <w:p>
            <w:r/>
            <w:r>
              <w:rPr>
                <w:rFonts w:ascii="Times New Roman" w:hAnsi="Times New Roman"/>
                <w:b/>
                <w:color w:val="FFFFFF"/>
                <w:sz w:val="18"/>
              </w:rPr>
              <w:t>RQs</w:t>
            </w:r>
          </w:p>
        </w:tc>
      </w:tr>
      <w:tr>
        <w:tc>
          <w:tcPr>
            <w:tcW w:type="dxa" w:w="720"/>
          </w:tcPr>
          <w:p>
            <w:r/>
            <w:r>
              <w:rPr>
                <w:rFonts w:ascii="Times New Roman" w:hAnsi="Times New Roman"/>
                <w:sz w:val="18"/>
              </w:rPr>
              <w:t>S1</w:t>
            </w:r>
          </w:p>
        </w:tc>
        <w:tc>
          <w:tcPr>
            <w:tcW w:type="dxa" w:w="4176"/>
          </w:tcPr>
          <w:p>
            <w:r/>
            <w:r>
              <w:rPr>
                <w:rFonts w:ascii="Times New Roman" w:hAnsi="Times New Roman"/>
                <w:sz w:val="18"/>
              </w:rPr>
              <w:t>Wang et al., 2021 (ASE) — QDiff [7]</w:t>
            </w:r>
          </w:p>
        </w:tc>
        <w:tc>
          <w:tcPr>
            <w:tcW w:type="dxa" w:w="2448"/>
          </w:tcPr>
          <w:p>
            <w:r/>
            <w:r>
              <w:rPr>
                <w:rFonts w:ascii="Times New Roman" w:hAnsi="Times New Roman"/>
                <w:sz w:val="18"/>
              </w:rPr>
              <w:t>Differential testing</w:t>
            </w:r>
          </w:p>
        </w:tc>
        <w:tc>
          <w:tcPr>
            <w:tcW w:type="dxa" w:w="1872"/>
          </w:tcPr>
          <w:p>
            <w:r/>
            <w:r>
              <w:rPr>
                <w:rFonts w:ascii="Times New Roman" w:hAnsi="Times New Roman"/>
                <w:sz w:val="18"/>
              </w:rPr>
              <w:t>1, 2, 4, 5</w:t>
            </w:r>
          </w:p>
        </w:tc>
      </w:tr>
      <w:tr>
        <w:tc>
          <w:tcPr>
            <w:tcW w:type="dxa" w:w="720"/>
            <w:shd w:val="clear" w:fill="EFF4FA"/>
          </w:tcPr>
          <w:p>
            <w:r/>
            <w:r>
              <w:rPr>
                <w:rFonts w:ascii="Times New Roman" w:hAnsi="Times New Roman"/>
                <w:sz w:val="18"/>
              </w:rPr>
              <w:t>S2</w:t>
            </w:r>
          </w:p>
        </w:tc>
        <w:tc>
          <w:tcPr>
            <w:tcW w:type="dxa" w:w="4176"/>
            <w:shd w:val="clear" w:fill="EFF4FA"/>
          </w:tcPr>
          <w:p>
            <w:r/>
            <w:r>
              <w:rPr>
                <w:rFonts w:ascii="Times New Roman" w:hAnsi="Times New Roman"/>
                <w:sz w:val="18"/>
              </w:rPr>
              <w:t>Paltenghi and Pradel, 2023 (ICSE) — MorphQ [5]</w:t>
            </w:r>
          </w:p>
        </w:tc>
        <w:tc>
          <w:tcPr>
            <w:tcW w:type="dxa" w:w="2448"/>
            <w:shd w:val="clear" w:fill="EFF4FA"/>
          </w:tcPr>
          <w:p>
            <w:r/>
            <w:r>
              <w:rPr>
                <w:rFonts w:ascii="Times New Roman" w:hAnsi="Times New Roman"/>
                <w:sz w:val="18"/>
              </w:rPr>
              <w:t>Metamorphic testing</w:t>
            </w:r>
          </w:p>
        </w:tc>
        <w:tc>
          <w:tcPr>
            <w:tcW w:type="dxa" w:w="1872"/>
            <w:shd w:val="clear" w:fill="EFF4FA"/>
          </w:tcPr>
          <w:p>
            <w:r/>
            <w:r>
              <w:rPr>
                <w:rFonts w:ascii="Times New Roman" w:hAnsi="Times New Roman"/>
                <w:sz w:val="18"/>
              </w:rPr>
              <w:t>1, 2, 4, 5</w:t>
            </w:r>
          </w:p>
        </w:tc>
      </w:tr>
      <w:tr>
        <w:tc>
          <w:tcPr>
            <w:tcW w:type="dxa" w:w="720"/>
          </w:tcPr>
          <w:p>
            <w:r/>
            <w:r>
              <w:rPr>
                <w:rFonts w:ascii="Times New Roman" w:hAnsi="Times New Roman"/>
                <w:sz w:val="18"/>
              </w:rPr>
              <w:t>S3</w:t>
            </w:r>
          </w:p>
        </w:tc>
        <w:tc>
          <w:tcPr>
            <w:tcW w:type="dxa" w:w="4176"/>
          </w:tcPr>
          <w:p>
            <w:r/>
            <w:r>
              <w:rPr>
                <w:rFonts w:ascii="Times New Roman" w:hAnsi="Times New Roman"/>
                <w:sz w:val="18"/>
              </w:rPr>
              <w:t>Iwumbwe et al., 2025 (PLanQC) — QuteFuzz [11]</w:t>
            </w:r>
          </w:p>
        </w:tc>
        <w:tc>
          <w:tcPr>
            <w:tcW w:type="dxa" w:w="2448"/>
          </w:tcPr>
          <w:p>
            <w:r/>
            <w:r>
              <w:rPr>
                <w:rFonts w:ascii="Times New Roman" w:hAnsi="Times New Roman"/>
                <w:sz w:val="18"/>
              </w:rPr>
              <w:t>Structured fuzzing</w:t>
            </w:r>
          </w:p>
        </w:tc>
        <w:tc>
          <w:tcPr>
            <w:tcW w:type="dxa" w:w="1872"/>
          </w:tcPr>
          <w:p>
            <w:r/>
            <w:r>
              <w:rPr>
                <w:rFonts w:ascii="Times New Roman" w:hAnsi="Times New Roman"/>
                <w:sz w:val="18"/>
              </w:rPr>
              <w:t>1, 2, 4, 5</w:t>
            </w:r>
          </w:p>
        </w:tc>
      </w:tr>
      <w:tr>
        <w:tc>
          <w:tcPr>
            <w:tcW w:type="dxa" w:w="720"/>
            <w:shd w:val="clear" w:fill="EFF4FA"/>
          </w:tcPr>
          <w:p>
            <w:r/>
            <w:r>
              <w:rPr>
                <w:rFonts w:ascii="Times New Roman" w:hAnsi="Times New Roman"/>
                <w:sz w:val="18"/>
              </w:rPr>
              <w:t>S4</w:t>
            </w:r>
          </w:p>
        </w:tc>
        <w:tc>
          <w:tcPr>
            <w:tcW w:type="dxa" w:w="4176"/>
            <w:shd w:val="clear" w:fill="EFF4FA"/>
          </w:tcPr>
          <w:p>
            <w:r/>
            <w:r>
              <w:rPr>
                <w:rFonts w:ascii="Times New Roman" w:hAnsi="Times New Roman"/>
                <w:sz w:val="18"/>
              </w:rPr>
              <w:t>Luo et al., 2026 (arXiv) — QEMI [12]</w:t>
            </w:r>
          </w:p>
        </w:tc>
        <w:tc>
          <w:tcPr>
            <w:tcW w:type="dxa" w:w="2448"/>
            <w:shd w:val="clear" w:fill="EFF4FA"/>
          </w:tcPr>
          <w:p>
            <w:r/>
            <w:r>
              <w:rPr>
                <w:rFonts w:ascii="Times New Roman" w:hAnsi="Times New Roman"/>
                <w:sz w:val="18"/>
              </w:rPr>
              <w:t>Equivalence modulo inputs</w:t>
            </w:r>
          </w:p>
        </w:tc>
        <w:tc>
          <w:tcPr>
            <w:tcW w:type="dxa" w:w="1872"/>
            <w:shd w:val="clear" w:fill="EFF4FA"/>
          </w:tcPr>
          <w:p>
            <w:r/>
            <w:r>
              <w:rPr>
                <w:rFonts w:ascii="Times New Roman" w:hAnsi="Times New Roman"/>
                <w:sz w:val="18"/>
              </w:rPr>
              <w:t>1, 2, 3, 4, 5</w:t>
            </w:r>
          </w:p>
        </w:tc>
      </w:tr>
      <w:tr>
        <w:tc>
          <w:tcPr>
            <w:tcW w:type="dxa" w:w="720"/>
          </w:tcPr>
          <w:p>
            <w:r/>
            <w:r>
              <w:rPr>
                <w:rFonts w:ascii="Times New Roman" w:hAnsi="Times New Roman"/>
                <w:sz w:val="18"/>
              </w:rPr>
              <w:t>S5</w:t>
            </w:r>
          </w:p>
        </w:tc>
        <w:tc>
          <w:tcPr>
            <w:tcW w:type="dxa" w:w="4176"/>
          </w:tcPr>
          <w:p>
            <w:r/>
            <w:r>
              <w:rPr>
                <w:rFonts w:ascii="Times New Roman" w:hAnsi="Times New Roman"/>
                <w:sz w:val="18"/>
              </w:rPr>
              <w:t>Tao et al., 2022 (PLDI) — Giallar [13]</w:t>
            </w:r>
          </w:p>
        </w:tc>
        <w:tc>
          <w:tcPr>
            <w:tcW w:type="dxa" w:w="2448"/>
          </w:tcPr>
          <w:p>
            <w:r/>
            <w:r>
              <w:rPr>
                <w:rFonts w:ascii="Times New Roman" w:hAnsi="Times New Roman"/>
                <w:sz w:val="18"/>
              </w:rPr>
              <w:t>Formal pass verification</w:t>
            </w:r>
          </w:p>
        </w:tc>
        <w:tc>
          <w:tcPr>
            <w:tcW w:type="dxa" w:w="1872"/>
          </w:tcPr>
          <w:p>
            <w:r/>
            <w:r>
              <w:rPr>
                <w:rFonts w:ascii="Times New Roman" w:hAnsi="Times New Roman"/>
                <w:sz w:val="18"/>
              </w:rPr>
              <w:t>1, 2, 4, 5</w:t>
            </w:r>
          </w:p>
        </w:tc>
      </w:tr>
      <w:tr>
        <w:tc>
          <w:tcPr>
            <w:tcW w:type="dxa" w:w="720"/>
            <w:shd w:val="clear" w:fill="EFF4FA"/>
          </w:tcPr>
          <w:p>
            <w:r/>
            <w:r>
              <w:rPr>
                <w:rFonts w:ascii="Times New Roman" w:hAnsi="Times New Roman"/>
                <w:sz w:val="18"/>
              </w:rPr>
              <w:t>S6</w:t>
            </w:r>
          </w:p>
        </w:tc>
        <w:tc>
          <w:tcPr>
            <w:tcW w:type="dxa" w:w="4176"/>
            <w:shd w:val="clear" w:fill="EFF4FA"/>
          </w:tcPr>
          <w:p>
            <w:r/>
            <w:r>
              <w:rPr>
                <w:rFonts w:ascii="Times New Roman" w:hAnsi="Times New Roman"/>
                <w:sz w:val="18"/>
              </w:rPr>
              <w:t>Shi et al., 2020 (arXiv) — CertiQ [14]</w:t>
            </w:r>
          </w:p>
        </w:tc>
        <w:tc>
          <w:tcPr>
            <w:tcW w:type="dxa" w:w="2448"/>
            <w:shd w:val="clear" w:fill="EFF4FA"/>
          </w:tcPr>
          <w:p>
            <w:r/>
            <w:r>
              <w:rPr>
                <w:rFonts w:ascii="Times New Roman" w:hAnsi="Times New Roman"/>
                <w:sz w:val="18"/>
              </w:rPr>
              <w:t>Formal verification (SMT)</w:t>
            </w:r>
          </w:p>
        </w:tc>
        <w:tc>
          <w:tcPr>
            <w:tcW w:type="dxa" w:w="1872"/>
            <w:shd w:val="clear" w:fill="EFF4FA"/>
          </w:tcPr>
          <w:p>
            <w:r/>
            <w:r>
              <w:rPr>
                <w:rFonts w:ascii="Times New Roman" w:hAnsi="Times New Roman"/>
                <w:sz w:val="18"/>
              </w:rPr>
              <w:t>1, 2, 4, 5</w:t>
            </w:r>
          </w:p>
        </w:tc>
      </w:tr>
      <w:tr>
        <w:tc>
          <w:tcPr>
            <w:tcW w:type="dxa" w:w="720"/>
          </w:tcPr>
          <w:p>
            <w:r/>
            <w:r>
              <w:rPr>
                <w:rFonts w:ascii="Times New Roman" w:hAnsi="Times New Roman"/>
                <w:sz w:val="18"/>
              </w:rPr>
              <w:t>S7</w:t>
            </w:r>
          </w:p>
        </w:tc>
        <w:tc>
          <w:tcPr>
            <w:tcW w:type="dxa" w:w="4176"/>
          </w:tcPr>
          <w:p>
            <w:r/>
            <w:r>
              <w:rPr>
                <w:rFonts w:ascii="Times New Roman" w:hAnsi="Times New Roman"/>
                <w:sz w:val="18"/>
              </w:rPr>
              <w:t>Zhao et al., 2021 (ASE-NIER) — Bugs4Q [15]</w:t>
            </w:r>
          </w:p>
        </w:tc>
        <w:tc>
          <w:tcPr>
            <w:tcW w:type="dxa" w:w="2448"/>
          </w:tcPr>
          <w:p>
            <w:r/>
            <w:r>
              <w:rPr>
                <w:rFonts w:ascii="Times New Roman" w:hAnsi="Times New Roman"/>
                <w:sz w:val="18"/>
              </w:rPr>
              <w:t>Bug benchmark</w:t>
            </w:r>
          </w:p>
        </w:tc>
        <w:tc>
          <w:tcPr>
            <w:tcW w:type="dxa" w:w="1872"/>
          </w:tcPr>
          <w:p>
            <w:r/>
            <w:r>
              <w:rPr>
                <w:rFonts w:ascii="Times New Roman" w:hAnsi="Times New Roman"/>
                <w:sz w:val="18"/>
              </w:rPr>
              <w:t>4, 5</w:t>
            </w:r>
          </w:p>
        </w:tc>
      </w:tr>
    </w:tbl>
    <w:p>
      <w:r>
        <w:rPr>
          <w:rFonts w:ascii="Times New Roman" w:hAnsi="Times New Roman"/>
          <w:b/>
          <w:i w:val="0"/>
          <w:color w:val="14264F"/>
          <w:sz w:val="26"/>
        </w:rPr>
        <w:t>Quality Assessment Results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576"/>
            <w:shd w:val="clear" w:fill="14264F"/>
          </w:tcPr>
          <w:p>
            <w:r/>
            <w:r>
              <w:rPr>
                <w:rFonts w:ascii="Times New Roman" w:hAnsi="Times New Roman"/>
                <w:b/>
                <w:color w:val="FFFFFF"/>
                <w:sz w:val="16"/>
              </w:rPr>
              <w:t>ID</w:t>
            </w:r>
          </w:p>
        </w:tc>
        <w:tc>
          <w:tcPr>
            <w:tcW w:type="dxa" w:w="2448"/>
            <w:shd w:val="clear" w:fill="14264F"/>
          </w:tcPr>
          <w:p>
            <w:r/>
            <w:r>
              <w:rPr>
                <w:rFonts w:ascii="Times New Roman" w:hAnsi="Times New Roman"/>
                <w:b/>
                <w:color w:val="FFFFFF"/>
                <w:sz w:val="16"/>
              </w:rPr>
              <w:t>Primary study</w:t>
            </w:r>
          </w:p>
        </w:tc>
        <w:tc>
          <w:tcPr>
            <w:tcW w:type="dxa" w:w="720"/>
            <w:shd w:val="clear" w:fill="14264F"/>
          </w:tcPr>
          <w:p>
            <w:r/>
            <w:r>
              <w:rPr>
                <w:rFonts w:ascii="Times New Roman" w:hAnsi="Times New Roman"/>
                <w:b/>
                <w:color w:val="FFFFFF"/>
                <w:sz w:val="16"/>
              </w:rPr>
              <w:t>QA1</w:t>
            </w:r>
          </w:p>
        </w:tc>
        <w:tc>
          <w:tcPr>
            <w:tcW w:type="dxa" w:w="720"/>
            <w:shd w:val="clear" w:fill="14264F"/>
          </w:tcPr>
          <w:p>
            <w:r/>
            <w:r>
              <w:rPr>
                <w:rFonts w:ascii="Times New Roman" w:hAnsi="Times New Roman"/>
                <w:b/>
                <w:color w:val="FFFFFF"/>
                <w:sz w:val="16"/>
              </w:rPr>
              <w:t>QA2</w:t>
            </w:r>
          </w:p>
        </w:tc>
        <w:tc>
          <w:tcPr>
            <w:tcW w:type="dxa" w:w="720"/>
            <w:shd w:val="clear" w:fill="14264F"/>
          </w:tcPr>
          <w:p>
            <w:r/>
            <w:r>
              <w:rPr>
                <w:rFonts w:ascii="Times New Roman" w:hAnsi="Times New Roman"/>
                <w:b/>
                <w:color w:val="FFFFFF"/>
                <w:sz w:val="16"/>
              </w:rPr>
              <w:t>QA3</w:t>
            </w:r>
          </w:p>
        </w:tc>
        <w:tc>
          <w:tcPr>
            <w:tcW w:type="dxa" w:w="720"/>
            <w:shd w:val="clear" w:fill="14264F"/>
          </w:tcPr>
          <w:p>
            <w:r/>
            <w:r>
              <w:rPr>
                <w:rFonts w:ascii="Times New Roman" w:hAnsi="Times New Roman"/>
                <w:b/>
                <w:color w:val="FFFFFF"/>
                <w:sz w:val="16"/>
              </w:rPr>
              <w:t>QA4</w:t>
            </w:r>
          </w:p>
        </w:tc>
        <w:tc>
          <w:tcPr>
            <w:tcW w:type="dxa" w:w="720"/>
            <w:shd w:val="clear" w:fill="14264F"/>
          </w:tcPr>
          <w:p>
            <w:r/>
            <w:r>
              <w:rPr>
                <w:rFonts w:ascii="Times New Roman" w:hAnsi="Times New Roman"/>
                <w:b/>
                <w:color w:val="FFFFFF"/>
                <w:sz w:val="16"/>
              </w:rPr>
              <w:t>QA5</w:t>
            </w:r>
          </w:p>
        </w:tc>
        <w:tc>
          <w:tcPr>
            <w:tcW w:type="dxa" w:w="720"/>
            <w:shd w:val="clear" w:fill="14264F"/>
          </w:tcPr>
          <w:p>
            <w:r/>
            <w:r>
              <w:rPr>
                <w:rFonts w:ascii="Times New Roman" w:hAnsi="Times New Roman"/>
                <w:b/>
                <w:color w:val="FFFFFF"/>
                <w:sz w:val="16"/>
              </w:rPr>
              <w:t>QA6</w:t>
            </w:r>
          </w:p>
        </w:tc>
        <w:tc>
          <w:tcPr>
            <w:tcW w:type="dxa" w:w="864"/>
            <w:shd w:val="clear" w:fill="14264F"/>
          </w:tcPr>
          <w:p>
            <w:r/>
            <w:r>
              <w:rPr>
                <w:rFonts w:ascii="Times New Roman" w:hAnsi="Times New Roman"/>
                <w:b/>
                <w:color w:val="FFFFFF"/>
                <w:sz w:val="16"/>
              </w:rPr>
              <w:t>Total / 6</w:t>
            </w:r>
          </w:p>
        </w:tc>
        <w:tc>
          <w:tcPr>
            <w:tcW w:type="dxa" w:w="1440"/>
            <w:shd w:val="clear" w:fill="14264F"/>
          </w:tcPr>
          <w:p>
            <w:r/>
            <w:r>
              <w:rPr>
                <w:rFonts w:ascii="Times New Roman" w:hAnsi="Times New Roman"/>
                <w:b/>
                <w:color w:val="FFFFFF"/>
                <w:sz w:val="16"/>
              </w:rPr>
              <w:t>Decision</w:t>
            </w:r>
          </w:p>
        </w:tc>
      </w:tr>
      <w:tr>
        <w:tc>
          <w:tcPr>
            <w:tcW w:type="dxa" w:w="576"/>
          </w:tcPr>
          <w:p>
            <w:r/>
            <w:r>
              <w:rPr>
                <w:rFonts w:ascii="Times New Roman" w:hAnsi="Times New Roman"/>
                <w:sz w:val="16"/>
              </w:rPr>
              <w:t>S1</w:t>
            </w:r>
          </w:p>
        </w:tc>
        <w:tc>
          <w:tcPr>
            <w:tcW w:type="dxa" w:w="2448"/>
          </w:tcPr>
          <w:p>
            <w:r/>
            <w:r>
              <w:rPr>
                <w:rFonts w:ascii="Times New Roman" w:hAnsi="Times New Roman"/>
                <w:sz w:val="16"/>
              </w:rPr>
              <w:t>Wang et al., 2021 — QDiff [7]</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0.5</w:t>
            </w:r>
          </w:p>
        </w:tc>
        <w:tc>
          <w:tcPr>
            <w:tcW w:type="dxa" w:w="864"/>
          </w:tcPr>
          <w:p>
            <w:r/>
            <w:r>
              <w:rPr>
                <w:rFonts w:ascii="Times New Roman" w:hAnsi="Times New Roman"/>
                <w:sz w:val="16"/>
              </w:rPr>
              <w:t>5.5</w:t>
            </w:r>
          </w:p>
        </w:tc>
        <w:tc>
          <w:tcPr>
            <w:tcW w:type="dxa" w:w="1440"/>
          </w:tcPr>
          <w:p>
            <w:r/>
            <w:r>
              <w:rPr>
                <w:rFonts w:ascii="Times New Roman" w:hAnsi="Times New Roman"/>
                <w:sz w:val="16"/>
              </w:rPr>
              <w:t>Include</w:t>
            </w:r>
          </w:p>
        </w:tc>
      </w:tr>
      <w:tr>
        <w:tc>
          <w:tcPr>
            <w:tcW w:type="dxa" w:w="576"/>
            <w:shd w:val="clear" w:fill="EFF4FA"/>
          </w:tcPr>
          <w:p>
            <w:r/>
            <w:r>
              <w:rPr>
                <w:rFonts w:ascii="Times New Roman" w:hAnsi="Times New Roman"/>
                <w:sz w:val="16"/>
              </w:rPr>
              <w:t>S2</w:t>
            </w:r>
          </w:p>
        </w:tc>
        <w:tc>
          <w:tcPr>
            <w:tcW w:type="dxa" w:w="2448"/>
            <w:shd w:val="clear" w:fill="EFF4FA"/>
          </w:tcPr>
          <w:p>
            <w:r/>
            <w:r>
              <w:rPr>
                <w:rFonts w:ascii="Times New Roman" w:hAnsi="Times New Roman"/>
                <w:sz w:val="16"/>
              </w:rPr>
              <w:t>Paltenghi &amp; Pradel, 2023 — MorphQ [5]</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864"/>
            <w:shd w:val="clear" w:fill="EFF4FA"/>
          </w:tcPr>
          <w:p>
            <w:r/>
            <w:r>
              <w:rPr>
                <w:rFonts w:ascii="Times New Roman" w:hAnsi="Times New Roman"/>
                <w:sz w:val="16"/>
              </w:rPr>
              <w:t>6.0</w:t>
            </w:r>
          </w:p>
        </w:tc>
        <w:tc>
          <w:tcPr>
            <w:tcW w:type="dxa" w:w="1440"/>
            <w:shd w:val="clear" w:fill="EFF4FA"/>
          </w:tcPr>
          <w:p>
            <w:r/>
            <w:r>
              <w:rPr>
                <w:rFonts w:ascii="Times New Roman" w:hAnsi="Times New Roman"/>
                <w:sz w:val="16"/>
              </w:rPr>
              <w:t>Include</w:t>
            </w:r>
          </w:p>
        </w:tc>
      </w:tr>
      <w:tr>
        <w:tc>
          <w:tcPr>
            <w:tcW w:type="dxa" w:w="576"/>
          </w:tcPr>
          <w:p>
            <w:r/>
            <w:r>
              <w:rPr>
                <w:rFonts w:ascii="Times New Roman" w:hAnsi="Times New Roman"/>
                <w:sz w:val="16"/>
              </w:rPr>
              <w:t>S3</w:t>
            </w:r>
          </w:p>
        </w:tc>
        <w:tc>
          <w:tcPr>
            <w:tcW w:type="dxa" w:w="2448"/>
          </w:tcPr>
          <w:p>
            <w:r/>
            <w:r>
              <w:rPr>
                <w:rFonts w:ascii="Times New Roman" w:hAnsi="Times New Roman"/>
                <w:sz w:val="16"/>
              </w:rPr>
              <w:t>Iwumbwe et al., 2025 — QuteFuzz [11]</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0.5</w:t>
            </w:r>
          </w:p>
        </w:tc>
        <w:tc>
          <w:tcPr>
            <w:tcW w:type="dxa" w:w="720"/>
          </w:tcPr>
          <w:p>
            <w:r/>
            <w:r>
              <w:rPr>
                <w:rFonts w:ascii="Times New Roman" w:hAnsi="Times New Roman"/>
                <w:sz w:val="16"/>
              </w:rPr>
              <w:t>1</w:t>
            </w:r>
          </w:p>
        </w:tc>
        <w:tc>
          <w:tcPr>
            <w:tcW w:type="dxa" w:w="720"/>
          </w:tcPr>
          <w:p>
            <w:r/>
            <w:r>
              <w:rPr>
                <w:rFonts w:ascii="Times New Roman" w:hAnsi="Times New Roman"/>
                <w:sz w:val="16"/>
              </w:rPr>
              <w:t>0.5</w:t>
            </w:r>
          </w:p>
        </w:tc>
        <w:tc>
          <w:tcPr>
            <w:tcW w:type="dxa" w:w="720"/>
          </w:tcPr>
          <w:p>
            <w:r/>
            <w:r>
              <w:rPr>
                <w:rFonts w:ascii="Times New Roman" w:hAnsi="Times New Roman"/>
                <w:sz w:val="16"/>
              </w:rPr>
              <w:t>1</w:t>
            </w:r>
          </w:p>
        </w:tc>
        <w:tc>
          <w:tcPr>
            <w:tcW w:type="dxa" w:w="864"/>
          </w:tcPr>
          <w:p>
            <w:r/>
            <w:r>
              <w:rPr>
                <w:rFonts w:ascii="Times New Roman" w:hAnsi="Times New Roman"/>
                <w:sz w:val="16"/>
              </w:rPr>
              <w:t>5.0</w:t>
            </w:r>
          </w:p>
        </w:tc>
        <w:tc>
          <w:tcPr>
            <w:tcW w:type="dxa" w:w="1440"/>
          </w:tcPr>
          <w:p>
            <w:r/>
            <w:r>
              <w:rPr>
                <w:rFonts w:ascii="Times New Roman" w:hAnsi="Times New Roman"/>
                <w:sz w:val="16"/>
              </w:rPr>
              <w:t>Include</w:t>
            </w:r>
          </w:p>
        </w:tc>
      </w:tr>
      <w:tr>
        <w:tc>
          <w:tcPr>
            <w:tcW w:type="dxa" w:w="576"/>
            <w:shd w:val="clear" w:fill="EFF4FA"/>
          </w:tcPr>
          <w:p>
            <w:r/>
            <w:r>
              <w:rPr>
                <w:rFonts w:ascii="Times New Roman" w:hAnsi="Times New Roman"/>
                <w:sz w:val="16"/>
              </w:rPr>
              <w:t>S4</w:t>
            </w:r>
          </w:p>
        </w:tc>
        <w:tc>
          <w:tcPr>
            <w:tcW w:type="dxa" w:w="2448"/>
            <w:shd w:val="clear" w:fill="EFF4FA"/>
          </w:tcPr>
          <w:p>
            <w:r/>
            <w:r>
              <w:rPr>
                <w:rFonts w:ascii="Times New Roman" w:hAnsi="Times New Roman"/>
                <w:sz w:val="16"/>
              </w:rPr>
              <w:t>Luo et al., 2026 — QEMI [12]</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864"/>
            <w:shd w:val="clear" w:fill="EFF4FA"/>
          </w:tcPr>
          <w:p>
            <w:r/>
            <w:r>
              <w:rPr>
                <w:rFonts w:ascii="Times New Roman" w:hAnsi="Times New Roman"/>
                <w:sz w:val="16"/>
              </w:rPr>
              <w:t>6.0</w:t>
            </w:r>
          </w:p>
        </w:tc>
        <w:tc>
          <w:tcPr>
            <w:tcW w:type="dxa" w:w="1440"/>
            <w:shd w:val="clear" w:fill="EFF4FA"/>
          </w:tcPr>
          <w:p>
            <w:r/>
            <w:r>
              <w:rPr>
                <w:rFonts w:ascii="Times New Roman" w:hAnsi="Times New Roman"/>
                <w:sz w:val="16"/>
              </w:rPr>
              <w:t>Include</w:t>
            </w:r>
          </w:p>
        </w:tc>
      </w:tr>
      <w:tr>
        <w:tc>
          <w:tcPr>
            <w:tcW w:type="dxa" w:w="576"/>
          </w:tcPr>
          <w:p>
            <w:r/>
            <w:r>
              <w:rPr>
                <w:rFonts w:ascii="Times New Roman" w:hAnsi="Times New Roman"/>
                <w:sz w:val="16"/>
              </w:rPr>
              <w:t>S5</w:t>
            </w:r>
          </w:p>
        </w:tc>
        <w:tc>
          <w:tcPr>
            <w:tcW w:type="dxa" w:w="2448"/>
          </w:tcPr>
          <w:p>
            <w:r/>
            <w:r>
              <w:rPr>
                <w:rFonts w:ascii="Times New Roman" w:hAnsi="Times New Roman"/>
                <w:sz w:val="16"/>
              </w:rPr>
              <w:t>Tao et al., 2022 — Giallar [13]</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864"/>
          </w:tcPr>
          <w:p>
            <w:r/>
            <w:r>
              <w:rPr>
                <w:rFonts w:ascii="Times New Roman" w:hAnsi="Times New Roman"/>
                <w:sz w:val="16"/>
              </w:rPr>
              <w:t>6.0</w:t>
            </w:r>
          </w:p>
        </w:tc>
        <w:tc>
          <w:tcPr>
            <w:tcW w:type="dxa" w:w="1440"/>
          </w:tcPr>
          <w:p>
            <w:r/>
            <w:r>
              <w:rPr>
                <w:rFonts w:ascii="Times New Roman" w:hAnsi="Times New Roman"/>
                <w:sz w:val="16"/>
              </w:rPr>
              <w:t>Include</w:t>
            </w:r>
          </w:p>
        </w:tc>
      </w:tr>
      <w:tr>
        <w:tc>
          <w:tcPr>
            <w:tcW w:type="dxa" w:w="576"/>
            <w:shd w:val="clear" w:fill="EFF4FA"/>
          </w:tcPr>
          <w:p>
            <w:r/>
            <w:r>
              <w:rPr>
                <w:rFonts w:ascii="Times New Roman" w:hAnsi="Times New Roman"/>
                <w:sz w:val="16"/>
              </w:rPr>
              <w:t>S6</w:t>
            </w:r>
          </w:p>
        </w:tc>
        <w:tc>
          <w:tcPr>
            <w:tcW w:type="dxa" w:w="2448"/>
            <w:shd w:val="clear" w:fill="EFF4FA"/>
          </w:tcPr>
          <w:p>
            <w:r/>
            <w:r>
              <w:rPr>
                <w:rFonts w:ascii="Times New Roman" w:hAnsi="Times New Roman"/>
                <w:sz w:val="16"/>
              </w:rPr>
              <w:t>Shi et al., 2020 — CertiQ [14]</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1</w:t>
            </w:r>
          </w:p>
        </w:tc>
        <w:tc>
          <w:tcPr>
            <w:tcW w:type="dxa" w:w="720"/>
            <w:shd w:val="clear" w:fill="EFF4FA"/>
          </w:tcPr>
          <w:p>
            <w:r/>
            <w:r>
              <w:rPr>
                <w:rFonts w:ascii="Times New Roman" w:hAnsi="Times New Roman"/>
                <w:sz w:val="16"/>
              </w:rPr>
              <w:t>0.5</w:t>
            </w:r>
          </w:p>
        </w:tc>
        <w:tc>
          <w:tcPr>
            <w:tcW w:type="dxa" w:w="720"/>
            <w:shd w:val="clear" w:fill="EFF4FA"/>
          </w:tcPr>
          <w:p>
            <w:r/>
            <w:r>
              <w:rPr>
                <w:rFonts w:ascii="Times New Roman" w:hAnsi="Times New Roman"/>
                <w:sz w:val="16"/>
              </w:rPr>
              <w:t>0</w:t>
            </w:r>
          </w:p>
        </w:tc>
        <w:tc>
          <w:tcPr>
            <w:tcW w:type="dxa" w:w="864"/>
            <w:shd w:val="clear" w:fill="EFF4FA"/>
          </w:tcPr>
          <w:p>
            <w:r/>
            <w:r>
              <w:rPr>
                <w:rFonts w:ascii="Times New Roman" w:hAnsi="Times New Roman"/>
                <w:sz w:val="16"/>
              </w:rPr>
              <w:t>4.5</w:t>
            </w:r>
          </w:p>
        </w:tc>
        <w:tc>
          <w:tcPr>
            <w:tcW w:type="dxa" w:w="1440"/>
            <w:shd w:val="clear" w:fill="EFF4FA"/>
          </w:tcPr>
          <w:p>
            <w:r/>
            <w:r>
              <w:rPr>
                <w:rFonts w:ascii="Times New Roman" w:hAnsi="Times New Roman"/>
                <w:sz w:val="16"/>
              </w:rPr>
              <w:t>Include; flag</w:t>
            </w:r>
          </w:p>
        </w:tc>
      </w:tr>
      <w:tr>
        <w:tc>
          <w:tcPr>
            <w:tcW w:type="dxa" w:w="576"/>
          </w:tcPr>
          <w:p>
            <w:r/>
            <w:r>
              <w:rPr>
                <w:rFonts w:ascii="Times New Roman" w:hAnsi="Times New Roman"/>
                <w:sz w:val="16"/>
              </w:rPr>
              <w:t>S7</w:t>
            </w:r>
          </w:p>
        </w:tc>
        <w:tc>
          <w:tcPr>
            <w:tcW w:type="dxa" w:w="2448"/>
          </w:tcPr>
          <w:p>
            <w:r/>
            <w:r>
              <w:rPr>
                <w:rFonts w:ascii="Times New Roman" w:hAnsi="Times New Roman"/>
                <w:sz w:val="16"/>
              </w:rPr>
              <w:t>Zhao et al., 2021 — Bugs4Q [15]</w:t>
            </w:r>
          </w:p>
        </w:tc>
        <w:tc>
          <w:tcPr>
            <w:tcW w:type="dxa" w:w="720"/>
          </w:tcPr>
          <w:p>
            <w:r/>
            <w:r>
              <w:rPr>
                <w:rFonts w:ascii="Times New Roman" w:hAnsi="Times New Roman"/>
                <w:sz w:val="16"/>
              </w:rPr>
              <w:t>1</w:t>
            </w:r>
          </w:p>
        </w:tc>
        <w:tc>
          <w:tcPr>
            <w:tcW w:type="dxa" w:w="720"/>
          </w:tcPr>
          <w:p>
            <w:r/>
            <w:r>
              <w:rPr>
                <w:rFonts w:ascii="Times New Roman" w:hAnsi="Times New Roman"/>
                <w:sz w:val="16"/>
              </w:rPr>
              <w:t>0.5</w:t>
            </w:r>
          </w:p>
        </w:tc>
        <w:tc>
          <w:tcPr>
            <w:tcW w:type="dxa" w:w="720"/>
          </w:tcPr>
          <w:p>
            <w:r/>
            <w:r>
              <w:rPr>
                <w:rFonts w:ascii="Times New Roman" w:hAnsi="Times New Roman"/>
                <w:sz w:val="16"/>
              </w:rPr>
              <w:t>1</w:t>
            </w:r>
          </w:p>
        </w:tc>
        <w:tc>
          <w:tcPr>
            <w:tcW w:type="dxa" w:w="720"/>
          </w:tcPr>
          <w:p>
            <w:r/>
            <w:r>
              <w:rPr>
                <w:rFonts w:ascii="Times New Roman" w:hAnsi="Times New Roman"/>
                <w:sz w:val="16"/>
              </w:rPr>
              <w:t>1</w:t>
            </w:r>
          </w:p>
        </w:tc>
        <w:tc>
          <w:tcPr>
            <w:tcW w:type="dxa" w:w="720"/>
          </w:tcPr>
          <w:p>
            <w:r/>
            <w:r>
              <w:rPr>
                <w:rFonts w:ascii="Times New Roman" w:hAnsi="Times New Roman"/>
                <w:sz w:val="16"/>
              </w:rPr>
              <w:t>0.5</w:t>
            </w:r>
          </w:p>
        </w:tc>
        <w:tc>
          <w:tcPr>
            <w:tcW w:type="dxa" w:w="720"/>
          </w:tcPr>
          <w:p>
            <w:r/>
            <w:r>
              <w:rPr>
                <w:rFonts w:ascii="Times New Roman" w:hAnsi="Times New Roman"/>
                <w:sz w:val="16"/>
              </w:rPr>
              <w:t>1</w:t>
            </w:r>
          </w:p>
        </w:tc>
        <w:tc>
          <w:tcPr>
            <w:tcW w:type="dxa" w:w="864"/>
          </w:tcPr>
          <w:p>
            <w:r/>
            <w:r>
              <w:rPr>
                <w:rFonts w:ascii="Times New Roman" w:hAnsi="Times New Roman"/>
                <w:sz w:val="16"/>
              </w:rPr>
              <w:t>5.0</w:t>
            </w:r>
          </w:p>
        </w:tc>
        <w:tc>
          <w:tcPr>
            <w:tcW w:type="dxa" w:w="1440"/>
          </w:tcPr>
          <w:p>
            <w:r/>
            <w:r>
              <w:rPr>
                <w:rFonts w:ascii="Times New Roman" w:hAnsi="Times New Roman"/>
                <w:sz w:val="16"/>
              </w:rPr>
              <w:t>Include; RQ4/RQ5</w:t>
            </w:r>
          </w:p>
        </w:tc>
      </w:tr>
    </w:tbl>
    <w:p>
      <w:r>
        <w:rPr>
          <w:rFonts w:ascii="Times New Roman" w:hAnsi="Times New Roman"/>
          <w:b w:val="0"/>
          <w:i w:val="0"/>
          <w:sz w:val="21"/>
        </w:rPr>
        <w:t>The recalculated total quality score is 38.0 out of 42, with an average score of 5.43 out of 6. No study was excluded by the quality threshold. S6 is retained but flagged because public artifact availability is limited; S7 is retained mainly as a benchmark study for RQ4 and RQ5 rather than as a compiler-testing technique.</w:t>
      </w:r>
    </w:p>
    <w:p>
      <w:r>
        <w:rPr>
          <w:rFonts w:ascii="Times New Roman" w:hAnsi="Times New Roman"/>
          <w:b/>
          <w:i w:val="0"/>
          <w:color w:val="14264F"/>
          <w:sz w:val="26"/>
        </w:rPr>
        <w:t>Completed Data Extraction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fill="14264F"/>
          </w:tcPr>
          <w:p>
            <w:r/>
            <w:r>
              <w:rPr>
                <w:rFonts w:ascii="Times New Roman" w:hAnsi="Times New Roman"/>
                <w:b/>
                <w:color w:val="FFFFFF"/>
                <w:sz w:val="16"/>
              </w:rPr>
              <w:t>ID</w:t>
            </w:r>
          </w:p>
        </w:tc>
        <w:tc>
          <w:tcPr>
            <w:tcW w:type="dxa" w:w="3456"/>
            <w:shd w:val="clear" w:fill="14264F"/>
          </w:tcPr>
          <w:p>
            <w:r/>
            <w:r>
              <w:rPr>
                <w:rFonts w:ascii="Times New Roman" w:hAnsi="Times New Roman"/>
                <w:b/>
                <w:color w:val="FFFFFF"/>
                <w:sz w:val="16"/>
              </w:rPr>
              <w:t>Study and technique</w:t>
            </w:r>
          </w:p>
        </w:tc>
        <w:tc>
          <w:tcPr>
            <w:tcW w:type="dxa" w:w="3456"/>
            <w:shd w:val="clear" w:fill="14264F"/>
          </w:tcPr>
          <w:p>
            <w:r/>
            <w:r>
              <w:rPr>
                <w:rFonts w:ascii="Times New Roman" w:hAnsi="Times New Roman"/>
                <w:b/>
                <w:color w:val="FFFFFF"/>
                <w:sz w:val="16"/>
              </w:rPr>
              <w:t>Oracle strategy and regression-testing relevance</w:t>
            </w:r>
          </w:p>
        </w:tc>
        <w:tc>
          <w:tcPr>
            <w:tcW w:type="dxa" w:w="2448"/>
            <w:shd w:val="clear" w:fill="14264F"/>
          </w:tcPr>
          <w:p>
            <w:r/>
            <w:r>
              <w:rPr>
                <w:rFonts w:ascii="Times New Roman" w:hAnsi="Times New Roman"/>
                <w:b/>
                <w:color w:val="FFFFFF"/>
                <w:sz w:val="16"/>
              </w:rPr>
              <w:t>Benchmarks / tools</w:t>
            </w:r>
          </w:p>
        </w:tc>
        <w:tc>
          <w:tcPr>
            <w:tcW w:type="dxa" w:w="2304"/>
            <w:shd w:val="clear" w:fill="14264F"/>
          </w:tcPr>
          <w:p>
            <w:r/>
            <w:r>
              <w:rPr>
                <w:rFonts w:ascii="Times New Roman" w:hAnsi="Times New Roman"/>
                <w:b/>
                <w:color w:val="FFFFFF"/>
                <w:sz w:val="16"/>
              </w:rPr>
              <w:t>Open challenges / gaps</w:t>
            </w:r>
          </w:p>
        </w:tc>
      </w:tr>
      <w:tr>
        <w:tc>
          <w:tcPr>
            <w:tcW w:type="dxa" w:w="576"/>
          </w:tcPr>
          <w:p>
            <w:r/>
            <w:r>
              <w:rPr>
                <w:rFonts w:ascii="Times New Roman" w:hAnsi="Times New Roman"/>
                <w:sz w:val="16"/>
              </w:rPr>
              <w:t>S1</w:t>
            </w:r>
          </w:p>
        </w:tc>
        <w:tc>
          <w:tcPr>
            <w:tcW w:type="dxa" w:w="3456"/>
          </w:tcPr>
          <w:p>
            <w:r/>
            <w:r>
              <w:rPr>
                <w:rFonts w:ascii="Times New Roman" w:hAnsi="Times New Roman"/>
                <w:sz w:val="16"/>
              </w:rPr>
              <w:t>QDiff [7]. Wang et al., 2021, ASE. Database: IEEE Xplore / ACM Digital Library. Technique: differential testing using semantically equivalent circuit variants and comparisons across quantum software stacks.</w:t>
            </w:r>
          </w:p>
        </w:tc>
        <w:tc>
          <w:tcPr>
            <w:tcW w:type="dxa" w:w="3456"/>
          </w:tcPr>
          <w:p>
            <w:r/>
            <w:r>
              <w:rPr>
                <w:rFonts w:ascii="Times New Roman" w:hAnsi="Times New Roman"/>
                <w:sz w:val="16"/>
              </w:rPr>
              <w:t>Oracle: statistical comparison of output distributions, including tests such as Kolmogorov-Smirnov and cross-entropy. Regression relevance: can be rerun across versions, but it does not define change-aware test selection or prioritisation.</w:t>
            </w:r>
          </w:p>
        </w:tc>
        <w:tc>
          <w:tcPr>
            <w:tcW w:type="dxa" w:w="2448"/>
          </w:tcPr>
          <w:p>
            <w:r/>
            <w:r>
              <w:rPr>
                <w:rFonts w:ascii="Times New Roman" w:hAnsi="Times New Roman"/>
                <w:sz w:val="16"/>
              </w:rPr>
              <w:t>Qiskit, Cirq, and PyQuil; seed algorithms including Deutsch-Jozsa, Bernstein-Vazirani, Grover, QAOA, VQE, and X-gate programs; simulators and IBM quantum hardware.</w:t>
            </w:r>
          </w:p>
        </w:tc>
        <w:tc>
          <w:tcPr>
            <w:tcW w:type="dxa" w:w="2304"/>
          </w:tcPr>
          <w:p>
            <w:r/>
            <w:r>
              <w:rPr>
                <w:rFonts w:ascii="Times New Roman" w:hAnsi="Times New Roman"/>
                <w:sz w:val="16"/>
              </w:rPr>
              <w:t>Hard to separate software bugs from hardware noise; sampling variation affects thresholds; execution cost and circuit size limit scalability.</w:t>
            </w:r>
          </w:p>
        </w:tc>
      </w:tr>
      <w:tr>
        <w:tc>
          <w:tcPr>
            <w:tcW w:type="dxa" w:w="576"/>
            <w:shd w:val="clear" w:fill="EFF4FA"/>
          </w:tcPr>
          <w:p>
            <w:r/>
            <w:r>
              <w:rPr>
                <w:rFonts w:ascii="Times New Roman" w:hAnsi="Times New Roman"/>
                <w:sz w:val="16"/>
              </w:rPr>
              <w:t>S2</w:t>
            </w:r>
          </w:p>
        </w:tc>
        <w:tc>
          <w:tcPr>
            <w:tcW w:type="dxa" w:w="3456"/>
            <w:shd w:val="clear" w:fill="EFF4FA"/>
          </w:tcPr>
          <w:p>
            <w:r/>
            <w:r>
              <w:rPr>
                <w:rFonts w:ascii="Times New Roman" w:hAnsi="Times New Roman"/>
                <w:sz w:val="16"/>
              </w:rPr>
              <w:t>MorphQ [5]. Paltenghi and Pradel, 2023, ICSE. Database: ACM Digital Library / IEEE Xplore. Technique: metamorphic testing with generated quantum programs and quantum-specific transformations.</w:t>
            </w:r>
          </w:p>
        </w:tc>
        <w:tc>
          <w:tcPr>
            <w:tcW w:type="dxa" w:w="3456"/>
            <w:shd w:val="clear" w:fill="EFF4FA"/>
          </w:tcPr>
          <w:p>
            <w:r/>
            <w:r>
              <w:rPr>
                <w:rFonts w:ascii="Times New Roman" w:hAnsi="Times New Roman"/>
                <w:sz w:val="16"/>
              </w:rPr>
              <w:t>Oracle: expected metamorphic relations between original and transformed programs. Regression relevance: useful for rerunning after Qiskit updates, but no explicit regression-test selection or prioritisation is proposed.</w:t>
            </w:r>
          </w:p>
        </w:tc>
        <w:tc>
          <w:tcPr>
            <w:tcW w:type="dxa" w:w="2448"/>
            <w:shd w:val="clear" w:fill="EFF4FA"/>
          </w:tcPr>
          <w:p>
            <w:r/>
            <w:r>
              <w:rPr>
                <w:rFonts w:ascii="Times New Roman" w:hAnsi="Times New Roman"/>
                <w:sz w:val="16"/>
              </w:rPr>
              <w:t>MorphQ tool; Qiskit; program generator; ten metamorphic transformations; more than 8,000 program pairs; public implementation and experimental results.</w:t>
            </w:r>
          </w:p>
        </w:tc>
        <w:tc>
          <w:tcPr>
            <w:tcW w:type="dxa" w:w="2304"/>
            <w:shd w:val="clear" w:fill="EFF4FA"/>
          </w:tcPr>
          <w:p>
            <w:r/>
            <w:r>
              <w:rPr>
                <w:rFonts w:ascii="Times New Roman" w:hAnsi="Times New Roman"/>
                <w:sz w:val="16"/>
              </w:rPr>
              <w:t>Generalisation beyond Qiskit; duplicate warnings; emphasis on crashes; stronger support needed for semantic miscompilation and prioritised regression testing.</w:t>
            </w:r>
          </w:p>
        </w:tc>
      </w:tr>
      <w:tr>
        <w:tc>
          <w:tcPr>
            <w:tcW w:type="dxa" w:w="576"/>
          </w:tcPr>
          <w:p>
            <w:r/>
            <w:r>
              <w:rPr>
                <w:rFonts w:ascii="Times New Roman" w:hAnsi="Times New Roman"/>
                <w:sz w:val="16"/>
              </w:rPr>
              <w:t>S3</w:t>
            </w:r>
          </w:p>
        </w:tc>
        <w:tc>
          <w:tcPr>
            <w:tcW w:type="dxa" w:w="3456"/>
          </w:tcPr>
          <w:p>
            <w:r/>
            <w:r>
              <w:rPr>
                <w:rFonts w:ascii="Times New Roman" w:hAnsi="Times New Roman"/>
                <w:sz w:val="16"/>
              </w:rPr>
              <w:t>QuteFuzz [11]. Iwumbwe, Liu, and Wickerson, 2025, PLanQC. Database: ACM SIGPLAN / Google Scholar. Technique: structured fuzzing of quantum compilers using random circuits with control flow and subcircuits.</w:t>
            </w:r>
          </w:p>
        </w:tc>
        <w:tc>
          <w:tcPr>
            <w:tcW w:type="dxa" w:w="3456"/>
          </w:tcPr>
          <w:p>
            <w:r/>
            <w:r>
              <w:rPr>
                <w:rFonts w:ascii="Times New Roman" w:hAnsi="Times New Roman"/>
                <w:sz w:val="16"/>
              </w:rPr>
              <w:t>Oracle: detects crashes, compiler/simulator inconsistencies, and silent miscompilations by executing generated programs through different stacks. Regression relevance: useful as a bug-finding regression workload, but it does not rank or select tests based on compiler changes.</w:t>
            </w:r>
          </w:p>
        </w:tc>
        <w:tc>
          <w:tcPr>
            <w:tcW w:type="dxa" w:w="2448"/>
          </w:tcPr>
          <w:p>
            <w:r/>
            <w:r>
              <w:rPr>
                <w:rFonts w:ascii="Times New Roman" w:hAnsi="Times New Roman"/>
                <w:sz w:val="16"/>
              </w:rPr>
              <w:t>QuteFuzz tool; Pytket, Qiskit, and Cirq; generated circuits with subroutines, if-else or switch-style control flow, nesting, and varied gates; public repository.</w:t>
            </w:r>
          </w:p>
        </w:tc>
        <w:tc>
          <w:tcPr>
            <w:tcW w:type="dxa" w:w="2304"/>
          </w:tcPr>
          <w:p>
            <w:r/>
            <w:r>
              <w:rPr>
                <w:rFonts w:ascii="Times New Roman" w:hAnsi="Times New Roman"/>
                <w:sz w:val="16"/>
              </w:rPr>
              <w:t>Needs stronger oracles for silent miscompilation; random generation may miss important compiler paths; practical regression use needs reduction, minimisation, and prioritisation.</w:t>
            </w:r>
          </w:p>
        </w:tc>
      </w:tr>
      <w:tr>
        <w:tc>
          <w:tcPr>
            <w:tcW w:type="dxa" w:w="576"/>
            <w:shd w:val="clear" w:fill="EFF4FA"/>
          </w:tcPr>
          <w:p>
            <w:r/>
            <w:r>
              <w:rPr>
                <w:rFonts w:ascii="Times New Roman" w:hAnsi="Times New Roman"/>
                <w:sz w:val="16"/>
              </w:rPr>
              <w:t>S4</w:t>
            </w:r>
          </w:p>
        </w:tc>
        <w:tc>
          <w:tcPr>
            <w:tcW w:type="dxa" w:w="3456"/>
            <w:shd w:val="clear" w:fill="EFF4FA"/>
          </w:tcPr>
          <w:p>
            <w:r/>
            <w:r>
              <w:rPr>
                <w:rFonts w:ascii="Times New Roman" w:hAnsi="Times New Roman"/>
                <w:sz w:val="16"/>
              </w:rPr>
              <w:t>QEMI [12]. Luo, Xia, Zhang, and Zhao, 2026, arXiv. Database: arXiv / Google Scholar. Technique: quantum adaptation of equivalence modulo inputs; generates variants by removing quantum-control-flow dead code.</w:t>
            </w:r>
          </w:p>
        </w:tc>
        <w:tc>
          <w:tcPr>
            <w:tcW w:type="dxa" w:w="3456"/>
            <w:shd w:val="clear" w:fill="EFF4FA"/>
          </w:tcPr>
          <w:p>
            <w:r/>
            <w:r>
              <w:rPr>
                <w:rFonts w:ascii="Times New Roman" w:hAnsi="Times New Roman"/>
                <w:sz w:val="16"/>
              </w:rPr>
              <w:t>Oracle: compares the original program and EMI variant; a crash in only one version or statistically different output distribution indicates a potential bug. Regression relevance: closest to regression testing because variants can be reused across versions, but it still lacks a formal selection/prioritisation framework.</w:t>
            </w:r>
          </w:p>
        </w:tc>
        <w:tc>
          <w:tcPr>
            <w:tcW w:type="dxa" w:w="2448"/>
            <w:shd w:val="clear" w:fill="EFF4FA"/>
          </w:tcPr>
          <w:p>
            <w:r/>
            <w:r>
              <w:rPr>
                <w:rFonts w:ascii="Times New Roman" w:hAnsi="Times New Roman"/>
                <w:sz w:val="16"/>
              </w:rPr>
              <w:t>QEMI framework; Qiskit, Q#, and Cirq; random quantum program generator; quantum control-flow dead-code patterns; early-stop strategy; public artifacts.</w:t>
            </w:r>
          </w:p>
        </w:tc>
        <w:tc>
          <w:tcPr>
            <w:tcW w:type="dxa" w:w="2304"/>
            <w:shd w:val="clear" w:fill="EFF4FA"/>
          </w:tcPr>
          <w:p>
            <w:r/>
            <w:r>
              <w:rPr>
                <w:rFonts w:ascii="Times New Roman" w:hAnsi="Times New Roman"/>
                <w:sz w:val="16"/>
              </w:rPr>
              <w:t>Richer equivalence-preserving rewrites are needed; high-level quantum reachability analysis remains difficult; probabilistic outputs complicate dead-code reasoning.</w:t>
            </w:r>
          </w:p>
        </w:tc>
      </w:tr>
      <w:tr>
        <w:tc>
          <w:tcPr>
            <w:tcW w:type="dxa" w:w="576"/>
          </w:tcPr>
          <w:p>
            <w:r/>
            <w:r>
              <w:rPr>
                <w:rFonts w:ascii="Times New Roman" w:hAnsi="Times New Roman"/>
                <w:sz w:val="16"/>
              </w:rPr>
              <w:t>S5</w:t>
            </w:r>
          </w:p>
        </w:tc>
        <w:tc>
          <w:tcPr>
            <w:tcW w:type="dxa" w:w="3456"/>
          </w:tcPr>
          <w:p>
            <w:r/>
            <w:r>
              <w:rPr>
                <w:rFonts w:ascii="Times New Roman" w:hAnsi="Times New Roman"/>
                <w:sz w:val="16"/>
              </w:rPr>
              <w:t>Giallar [13]. Tao et al., 2022, PLDI. Database: ACM Digital Library / arXiv. Technique: formal pass verification using symbolic execution, rewrite rules, SMT solving, and automatically inferred loop invariants.</w:t>
            </w:r>
          </w:p>
        </w:tc>
        <w:tc>
          <w:tcPr>
            <w:tcW w:type="dxa" w:w="3456"/>
          </w:tcPr>
          <w:p>
            <w:r/>
            <w:r>
              <w:rPr>
                <w:rFonts w:ascii="Times New Roman" w:hAnsi="Times New Roman"/>
                <w:sz w:val="16"/>
              </w:rPr>
              <w:t>Oracle: formal semantic preservation of compiler passes. Regression relevance: not regression-test selection, but can prevent regressions by verifying changed or newly implemented compiler passes after updates.</w:t>
            </w:r>
          </w:p>
        </w:tc>
        <w:tc>
          <w:tcPr>
            <w:tcW w:type="dxa" w:w="2448"/>
          </w:tcPr>
          <w:p>
            <w:r/>
            <w:r>
              <w:rPr>
                <w:rFonts w:ascii="Times New Roman" w:hAnsi="Times New Roman"/>
                <w:sz w:val="16"/>
              </w:rPr>
              <w:t>Giallar toolkit; Qiskit compiler; 44 of 56 passes across 13 Qiskit versions; QASM benchmarks; public artifact.</w:t>
            </w:r>
          </w:p>
        </w:tc>
        <w:tc>
          <w:tcPr>
            <w:tcW w:type="dxa" w:w="2304"/>
          </w:tcPr>
          <w:p>
            <w:r/>
            <w:r>
              <w:rPr>
                <w:rFonts w:ascii="Times New Roman" w:hAnsi="Times New Roman"/>
                <w:sz w:val="16"/>
              </w:rPr>
              <w:t>Trusted computing base remains non-trivial; depends on loop templates and rewrite rules; incomplete gate/rule coverage; does not verify some non-critical or debugging statements.</w:t>
            </w:r>
          </w:p>
        </w:tc>
      </w:tr>
      <w:tr>
        <w:tc>
          <w:tcPr>
            <w:tcW w:type="dxa" w:w="576"/>
            <w:shd w:val="clear" w:fill="EFF4FA"/>
          </w:tcPr>
          <w:p>
            <w:r/>
            <w:r>
              <w:rPr>
                <w:rFonts w:ascii="Times New Roman" w:hAnsi="Times New Roman"/>
                <w:sz w:val="16"/>
              </w:rPr>
              <w:t>S6</w:t>
            </w:r>
          </w:p>
        </w:tc>
        <w:tc>
          <w:tcPr>
            <w:tcW w:type="dxa" w:w="3456"/>
            <w:shd w:val="clear" w:fill="EFF4FA"/>
          </w:tcPr>
          <w:p>
            <w:r/>
            <w:r>
              <w:rPr>
                <w:rFonts w:ascii="Times New Roman" w:hAnsi="Times New Roman"/>
                <w:sz w:val="16"/>
              </w:rPr>
              <w:t>CertiQ [14]. Shi et al., 2020, arXiv. Database: arXiv / Google Scholar. Technique: mostly automated formal verification of Qiskit compiler passes using contracts, SMT solving, and quantum circuit calculus.</w:t>
            </w:r>
          </w:p>
        </w:tc>
        <w:tc>
          <w:tcPr>
            <w:tcW w:type="dxa" w:w="3456"/>
            <w:shd w:val="clear" w:fill="EFF4FA"/>
          </w:tcPr>
          <w:p>
            <w:r/>
            <w:r>
              <w:rPr>
                <w:rFonts w:ascii="Times New Roman" w:hAnsi="Times New Roman"/>
                <w:sz w:val="16"/>
              </w:rPr>
              <w:t>Oracle: formal equivalence encoded as SMT verification conditions. Regression relevance: mentions Qiskit regression tests and helps prevent regressions through verified pass implementations, but does not propose regression-test selection or prioritisation.</w:t>
            </w:r>
          </w:p>
        </w:tc>
        <w:tc>
          <w:tcPr>
            <w:tcW w:type="dxa" w:w="2448"/>
            <w:shd w:val="clear" w:fill="EFF4FA"/>
          </w:tcPr>
          <w:p>
            <w:r/>
            <w:r>
              <w:rPr>
                <w:rFonts w:ascii="Times New Roman" w:hAnsi="Times New Roman"/>
                <w:sz w:val="16"/>
              </w:rPr>
              <w:t>CertiQ framework; Qiskit compiler; 26 of 30 Qiskit compiler passes reimplemented and verified; verified passes passed Qiskit regression tests.</w:t>
            </w:r>
          </w:p>
        </w:tc>
        <w:tc>
          <w:tcPr>
            <w:tcW w:type="dxa" w:w="2304"/>
            <w:shd w:val="clear" w:fill="EFF4FA"/>
          </w:tcPr>
          <w:p>
            <w:r/>
            <w:r>
              <w:rPr>
                <w:rFonts w:ascii="Times New Roman" w:hAnsi="Times New Roman"/>
                <w:sz w:val="16"/>
              </w:rPr>
              <w:t>Proof/specification burden still exists; more automation is needed; public reproducibility appears limited; not a complete regression-testing method.</w:t>
            </w:r>
          </w:p>
        </w:tc>
      </w:tr>
      <w:tr>
        <w:tc>
          <w:tcPr>
            <w:tcW w:type="dxa" w:w="576"/>
          </w:tcPr>
          <w:p>
            <w:r/>
            <w:r>
              <w:rPr>
                <w:rFonts w:ascii="Times New Roman" w:hAnsi="Times New Roman"/>
                <w:sz w:val="16"/>
              </w:rPr>
              <w:t>S7</w:t>
            </w:r>
          </w:p>
        </w:tc>
        <w:tc>
          <w:tcPr>
            <w:tcW w:type="dxa" w:w="3456"/>
          </w:tcPr>
          <w:p>
            <w:r/>
            <w:r>
              <w:rPr>
                <w:rFonts w:ascii="Times New Roman" w:hAnsi="Times New Roman"/>
                <w:sz w:val="16"/>
              </w:rPr>
              <w:t>Bugs4Q [15]. Zhao, Zhao, Miao, and Lan, 2021, ASE-NIER. Database: IEEE Xplore / ACM Digital Library / arXiv. Technique: real-bug benchmark rather than a testing technique.</w:t>
            </w:r>
          </w:p>
        </w:tc>
        <w:tc>
          <w:tcPr>
            <w:tcW w:type="dxa" w:w="3456"/>
          </w:tcPr>
          <w:p>
            <w:r/>
            <w:r>
              <w:rPr>
                <w:rFonts w:ascii="Times New Roman" w:hAnsi="Times New Roman"/>
                <w:sz w:val="16"/>
              </w:rPr>
              <w:t>Oracle: reproducible test cases distinguish buggy and fixed behaviour. Regression relevance: strongly relevant as a reusable historical-bug benchmark, but no test-selection or prioritisation algorithm is proposed.</w:t>
            </w:r>
          </w:p>
        </w:tc>
        <w:tc>
          <w:tcPr>
            <w:tcW w:type="dxa" w:w="2448"/>
          </w:tcPr>
          <w:p>
            <w:r/>
            <w:r>
              <w:rPr>
                <w:rFonts w:ascii="Times New Roman" w:hAnsi="Times New Roman"/>
                <w:sz w:val="16"/>
              </w:rPr>
              <w:t>Bugs4Q benchmark; 36 real manually validated Qiskit bugs from Terra, Aer, Ignis, and Aqua; buggy/fixed versions and reproduction tests.</w:t>
            </w:r>
          </w:p>
        </w:tc>
        <w:tc>
          <w:tcPr>
            <w:tcW w:type="dxa" w:w="2304"/>
          </w:tcPr>
          <w:p>
            <w:r/>
            <w:r>
              <w:rPr>
                <w:rFonts w:ascii="Times New Roman" w:hAnsi="Times New Roman"/>
                <w:sz w:val="16"/>
              </w:rPr>
              <w:t>Needs expansion beyond Qiskit; compiler-specific labelling could be stronger; benchmarks can become stale as Qiskit evolves; no cost-aware prioritisation.</w:t>
            </w:r>
          </w:p>
        </w:tc>
      </w:tr>
    </w:tbl>
    <w:p>
      <w:r>
        <w:rPr>
          <w:rFonts w:ascii="Times New Roman" w:hAnsi="Times New Roman"/>
          <w:b/>
          <w:i w:val="0"/>
          <w:color w:val="14264F"/>
          <w:sz w:val="24"/>
        </w:rPr>
        <w:t>Study references</w:t>
      </w:r>
    </w:p>
    <w:p>
      <w:r>
        <w:rPr>
          <w:rFonts w:ascii="Times New Roman" w:hAnsi="Times New Roman"/>
          <w:b w:val="0"/>
          <w:i w:val="0"/>
          <w:sz w:val="19"/>
        </w:rPr>
        <w:t>[5]  M. Paltenghi and M. Pradel, “MorphQ: metamorphic testing of the Qiskit quantum computing platform,” in Proc. ICSE, 2023.</w:t>
      </w:r>
    </w:p>
    <w:p>
      <w:r>
        <w:rPr>
          <w:rFonts w:ascii="Times New Roman" w:hAnsi="Times New Roman"/>
          <w:b w:val="0"/>
          <w:i w:val="0"/>
          <w:sz w:val="19"/>
        </w:rPr>
        <w:t>[7]  J. Wang, Q. Zhang, G. H. Xu, and M. Kim, “QDiff: differential testing of quantum software stacks,” in Proc. IEEE/ACM ASE, 2021.</w:t>
      </w:r>
    </w:p>
    <w:p>
      <w:r>
        <w:rPr>
          <w:rFonts w:ascii="Times New Roman" w:hAnsi="Times New Roman"/>
          <w:b w:val="0"/>
          <w:i w:val="0"/>
          <w:sz w:val="19"/>
        </w:rPr>
        <w:t>[11]  I. Iwumbwe, B. Z. Liu, and J. Wickerson, “QuteFuzz: fuzzing quantum compilers using randomly generated circuits with control flow and subcircuits,” in Proc. PLanQC, 2025.</w:t>
      </w:r>
    </w:p>
    <w:p>
      <w:r>
        <w:rPr>
          <w:rFonts w:ascii="Times New Roman" w:hAnsi="Times New Roman"/>
          <w:b w:val="0"/>
          <w:i w:val="0"/>
          <w:sz w:val="19"/>
        </w:rPr>
        <w:t>[12]  J. Luo, S. Xia, F. Zhang, and J. Zhao, “QEMI: a quantum software stacks testing framework via equivalence modulo inputs,” arXiv:2602.09942, 2026.</w:t>
      </w:r>
    </w:p>
    <w:p>
      <w:r>
        <w:rPr>
          <w:rFonts w:ascii="Times New Roman" w:hAnsi="Times New Roman"/>
          <w:b w:val="0"/>
          <w:i w:val="0"/>
          <w:sz w:val="19"/>
        </w:rPr>
        <w:t>[13]  R. Tao et al., “Giallar: push-button verification for the Qiskit quantum compiler,” in Proc. PLDI, 2022.</w:t>
      </w:r>
    </w:p>
    <w:p>
      <w:r>
        <w:rPr>
          <w:rFonts w:ascii="Times New Roman" w:hAnsi="Times New Roman"/>
          <w:b w:val="0"/>
          <w:i w:val="0"/>
          <w:sz w:val="19"/>
        </w:rPr>
        <w:t>[14]  Y. Shi et al., “CertiQ: a mostly-automated verification of a realistic quantum compiler,” arXiv:1908.08963, 2020.</w:t>
      </w:r>
    </w:p>
    <w:p>
      <w:r>
        <w:rPr>
          <w:rFonts w:ascii="Times New Roman" w:hAnsi="Times New Roman"/>
          <w:b w:val="0"/>
          <w:i w:val="0"/>
          <w:sz w:val="19"/>
        </w:rPr>
        <w:t>[15]  P. Zhao, J. Zhao, Z. Miao, and S. Lan, “Bugs4Q: a benchmark of real bugs for quantum programs,” in Proc. ASE-NIER,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