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Oracle Observability of Quantum Transpiler Regressions: What Output-Equivalence Oracles Miss</w:t>
      </w:r>
    </w:p>
    <w:p>
      <w:pPr>
        <w:spacing w:after="120"/>
        <w:jc w:val="center"/>
      </w:pPr>
      <w:r>
        <w:rPr>
          <w:i/>
          <w:iCs/>
          <w:sz w:val="24"/>
          <w:szCs w:val="24"/>
        </w:rPr>
        <w:t xml:space="preserve">A Cross-SDK Mining Study, a Fault-Class-Matched Oracle Family, and a Leakage-Safe Cost-Aware Pilot (Qiskit, tket, Cirq)</w:t>
      </w:r>
    </w:p>
    <w:p>
      <w:pPr>
        <w:spacing w:after="30"/>
        <w:jc w:val="center"/>
      </w:pPr>
      <w:r>
        <w:rPr>
          <w:sz w:val="24"/>
          <w:szCs w:val="24"/>
        </w:rPr>
        <w:t xml:space="preserve">Furqan Nasir¹,², Arif Shah¹, Iftikhar Alam¹</w:t>
      </w:r>
    </w:p>
    <w:p>
      <w:pPr>
        <w:spacing w:after="14"/>
        <w:jc w:val="center"/>
      </w:pPr>
      <w:r>
        <w:rPr>
          <w:sz w:val="19"/>
          <w:szCs w:val="19"/>
        </w:rPr>
        <w:t xml:space="preserve">¹ City University of Science and Information Technology (CUSIT), Peshawar, Pakistan (PhD Student, Computer Science)</w:t>
      </w:r>
    </w:p>
    <w:p>
      <w:pPr>
        <w:spacing w:after="14"/>
        <w:jc w:val="center"/>
      </w:pPr>
      <w:r>
        <w:rPr>
          <w:sz w:val="19"/>
          <w:szCs w:val="19"/>
        </w:rPr>
        <w:t xml:space="preserve">² Department of Computer Science, National University of Computer and Emerging Sciences (FAST-NUCES), Islamabad, Pakistan (Lecturer)</w:t>
      </w:r>
    </w:p>
    <w:p>
      <w:pPr>
        <w:spacing w:after="200"/>
        <w:jc w:val="center"/>
      </w:pPr>
      <w:r>
        <w:rPr>
          <w:sz w:val="19"/>
          <w:szCs w:val="19"/>
        </w:rPr>
        <w:t xml:space="preserve">Corresponding author: Furqan Nasir (furqannr@gmail.com) · ORCID: Furqan Nasir 0000-0002-5259-3448, Arif Shah 0000-0003-0090-3333</w:t>
      </w:r>
    </w:p>
    <w:p>
      <w:pPr>
        <w:pStyle w:val="Heading1"/>
      </w:pPr>
      <w:r>
        <w:t xml:space="preserve">Abstract</w:t>
      </w:r>
    </w:p>
    <w:p>
      <w:pPr>
        <w:spacing w:after="120"/>
        <w:jc w:val="both"/>
      </w:pPr>
      <w:r>
        <w:t xml:space="preserve">Quantum SDKs such as Qiskit are revised continually, and a single transpiler-pass change can introduce a regression. The field’s de-facto correctness criterion is output equivalence: compare the compiled circuit’s output map modulo global phase and qubit-layout permutation. We show this criterion is systematically incomplete. A repository-mining study of 68 merged Qiskit transpiler bug-fixes — independently human-coded by multiple raters (three on a 24-fix adjudicated seed, two on the remaining 44; Cohen's κ = 0.67 and 0.86, adjudicated against a frozen codebook) — finds that about 28% (95% Wilson CI 19–40%) lie in channels an output-equivalence oracle cannot observe: corrupted layout/permutation contract metadata, non-determinism, and dropped global phase. The gap is not Qiskit-specific: it replicates on a second compiler (tket, ~25%) and its magnitude scales with how much layout/permutation metadata a compiler exposes. We make the gap concrete by building the fault-class-matched oracle family that closes it — a layout/permutation contract differ, contract-level metamorphic relations (MR-1, permutation consistency), and a global-phase-tracking oracle, all layout-aware and width-tiered to avoid full unitaries beyond small circuits — and we verify three of the mined output-invisible fixes directly from source, spanning two channels — the contract/metadata fixes ElidePermutations #14603 and final_layout composition #14919, and a global-phase fix in CommutativeCancellation #14956 — on which the output oracle is provably blind while the matched oracle detects the fault. We situate the study within a leakage-safe, cost-aware regression-testing methodology (non-pooled cohorts, provenance control, six validity gates, a strict claim-scope rule); a Qiskit 2.x selection pilot returns an honest null under saturated detection, which we analyse rather than overclaim. All code, data, and artifacts are released.</w:t>
      </w:r>
    </w:p>
    <w:p>
      <w:pPr>
        <w:spacing w:after="160"/>
      </w:pPr>
      <w:r>
        <w:rPr>
          <w:b/>
          <w:bCs/>
        </w:rPr>
        <w:t xml:space="preserve">Keywords: </w:t>
      </w:r>
      <w:r>
        <w:t xml:space="preserve">Quantum software engineering · Quantum transpiler · Regression test selection · Quantum circuit equivalence checking · Metamorphic testing · Qiskit</w:t>
      </w:r>
    </w:p>
    <w:p>
      <w:pPr>
        <w:pStyle w:val="Heading1"/>
      </w:pPr>
      <w:r>
        <w:t xml:space="preserve">1. Introduction</w:t>
      </w:r>
    </w:p>
    <w:p>
      <w:pPr>
        <w:spacing w:after="120"/>
        <w:jc w:val="both"/>
      </w:pPr>
      <w:r>
        <w:t xml:space="preserve">Quantum software development kits (SDKs) such as Qiskit are developed at a rapid and continuous pace, and the compilers inside them — the transpilers that map an abstract circuit onto a hardware-native gate set and a limited qubit connectivity — are revised very often. A single change in a layout, routing, translation, optimization, or scheduling pass can introduce a regression, and empirical studies confirm that compiler and transpiler components are an important source of defects in quantum platforms [1]. How does one know a transpiler change is correct? The field's de-facto answer is an output-equivalence oracle: because transpilation may permute qubits and shift a global phase, a compiled circuit is accepted when its output map equals the source's modulo global phase and modulo a qubit-layout permutation. This criterion underlies quantum circuit equivalence checking and the equivalence oracles used across quantum benchmark and testing suites.</w:t>
      </w:r>
    </w:p>
    <w:p>
      <w:pPr>
        <w:spacing w:after="120"/>
        <w:jc w:val="both"/>
      </w:pPr>
      <w:r>
        <w:t xml:space="preserve">Our starting observation is that this criterion is systematically incomplete. A transpiler pass can corrupt the recorded layout/permutation contract (the TranspileLayout, final_index_layout, and routing_permutation metadata), make compilation non-deterministic across fixed seeds, or drop the tracked global phase, while leaving the layout-applied output map correct. Such a fault is invisible to an output-equivalence oracle by construction: the compiled program is “right”, yet the recorded metadata a downstream consumer relies on is wrong. This is not hypothetical — a real Qiskit regression in ElidePermutations (#14603) corrupted the recorded permutation while the applied output stayed correct, and passed the output oracle. We therefore ask how common such output-invisible faults are, whether the phenomenon is specific to Qiskit, and what it takes to detect them.</w:t>
      </w:r>
    </w:p>
    <w:p>
      <w:pPr>
        <w:spacing w:after="120"/>
        <w:jc w:val="both"/>
      </w:pPr>
      <w:r>
        <w:t xml:space="preserve">Acting on these oracles in practice is also a budgeted regression-testing problem. The atomic unit of transpiler testing is a tuple (circuit, backend, transpiler configuration, oracle), and a realistic suite ranges over many circuit families and device topologies — existing benchmark suites already enumerate on the order of a thousand workloads for a single SDK [2] — so re-executing the full suite with its oracles on every change quickly exhausts a CI budget. Which tests, and in which order, best reveal a regression introduced by an incoming change, given that the cost of each test (transpilation plus oracle evaluation) varies widely?</w:t>
      </w:r>
    </w:p>
    <w:p>
      <w:pPr>
        <w:spacing w:after="120"/>
        <w:jc w:val="both"/>
      </w:pPr>
      <w:r>
        <w:t xml:space="preserve">For conventional software this question is addressed by classical regression test prioritization, and decades of empirical evidence indicate that simple cost-, history-, and change-aware heuristics are strong baselines, frequently remaining competitive with much heavier learned models when labelled failure data are scarce [3, 4]. To the best of our knowledge, however, no earlier work has formalized or evaluated cost-aware regression test selection for the quantum transpiler in particular, where the faults are compiler regressions and the oracle must reason about circuit equivalence under a permutation of the qubit layout. Most existing quantum-testing research instead aims at finding bugs and generating tests through metamorphic or differential testing [5, 6, 7, 8], or at benchmarking SDKs [2]; this is complementary to our problem but distinct from the budgeted selection of existing tests for an incoming change.</w:t>
      </w:r>
    </w:p>
    <w:p>
      <w:pPr>
        <w:spacing w:after="120"/>
        <w:jc w:val="both"/>
      </w:pPr>
      <w:r>
        <w:t xml:space="preserve">This paper’s central contribution is an observability result about quantum transpiler testing, the fault-class-matched oracle family that acts on it, and the leakage-safe methodology that frames it. Concretely:</w:t>
      </w:r>
    </w:p>
    <w:p>
      <w:pPr>
        <w:pStyle w:val="ListParagraph"/>
        <w:numPr>
          <w:ilvl w:val="0"/>
          <w:numId w:val="2"/>
        </w:numPr>
        <w:spacing w:after="80"/>
      </w:pPr>
      <w:r>
        <w:rPr>
          <w:b/>
          <w:bCs/>
        </w:rPr>
        <w:t xml:space="preserve">An oracle-observability result. </w:t>
      </w:r>
      <w:r>
        <w:t xml:space="preserve">The de-facto correctness criterion for quantum transpilers — output equivalence modulo global phase and qubit permutation — is systematically incomplete. A repository-mining study of 68 merged Qiskit transpiler bug-fixes, independently human-coded by multiple raters (three on a 24-fix adjudicated seed, two on the remaining 44; Cohen's κ = 0.67 and 0.86, adjudicated against a frozen codebook), finds that roughly 28% (95% Wilson CI 19–40%) fall in output-invisible channels: contract/metadata, non-determinism, and global phase. We verify three of these fixes directly from source, spanning two channels (contract/metadata: ElidePermutations #14603 and final_layout composition #14919; global phase: CommutativeCancellation #14956): the output oracle passes the buggy build while the fault is real, reachable, and caught by a matched oracle.</w:t>
      </w:r>
    </w:p>
    <w:p>
      <w:pPr>
        <w:pStyle w:val="ListParagraph"/>
        <w:numPr>
          <w:ilvl w:val="0"/>
          <w:numId w:val="2"/>
        </w:numPr>
        <w:spacing w:after="80"/>
      </w:pPr>
      <w:r>
        <w:rPr>
          <w:b/>
          <w:bCs/>
        </w:rPr>
        <w:t xml:space="preserve">A fault-class-matched oracle family that closes the gap. </w:t>
      </w:r>
      <w:r>
        <w:t xml:space="preserve">We build and validate three oracles, one per output-invisible channel: a layout/permutation contract differ; contract-level metamorphic relations (MR-1, permutation consistency — a new oracle class for transpiler metadata); and a global-phase-tracking oracle, the exact complement of output equivalence. Each is layout-aware and width-tiered (exact operator for n ≤ 12 qubits, sampled layout-normalized statevectors for 13–22, structural beyond), never forming a full 2^n x 2^n unitary at scale. With the layout method fixed the differ is well-calibrated, and under the default layout path it auto-surfaces a fixed-seed layout-metadata non-determinism (present across Qiskit 2.4.2 and 2.5.0).</w:t>
      </w:r>
    </w:p>
    <w:p>
      <w:pPr>
        <w:pStyle w:val="ListParagraph"/>
        <w:numPr>
          <w:ilvl w:val="0"/>
          <w:numId w:val="2"/>
        </w:numPr>
        <w:spacing w:after="80"/>
      </w:pPr>
      <w:r>
        <w:rPr>
          <w:b/>
          <w:bCs/>
        </w:rPr>
        <w:t xml:space="preserve">A leakage-safe, cost-aware methodology and an honest feasibility pilot. </w:t>
      </w:r>
      <w:r>
        <w:t xml:space="preserve">We separate change events into non-pooled cohorts (forward regression, fix-boundary differential, mutation), apply tiered quantum-aware oracles with an empirical false-positive rate, freeze the change–stage map, and enforce six implementation-validity gates and a strict claim-scope rule. A Qiskit 2.x selection pilot returns a null result — a transparent risk_score selector does not beat the simple cost, diversity, history, and change-stage baselines or random ordering under saturated detection, an ablation tracing the deficit to its severity term — which we report as feasibility evidence, not a verdict.</w:t>
      </w:r>
    </w:p>
    <w:p>
      <w:pPr>
        <w:spacing w:after="120"/>
        <w:jc w:val="both"/>
      </w:pPr>
      <w:r>
        <w:t xml:space="preserve">We answer three research questions. RQ1 (observability): how often do real, merged transpiler bug-fixes fall in channels a black-box output-equivalence oracle cannot observe, and does this rate replicate across compilers? RQ2 (detection): can a fault-class-matched oracle family — a layout/permutation contract differ, contract-level metamorphic relations, and a global-phase tracker — detect these output-invisible faults, verified from source on real regressions? RQ3 (selection pilot): within a leakage-safe, cost-aware methodology, how does a transparent test selector compare with simple baselines at pilot scale, and what can be concluded? All comparative selection claims are scoped as pilot evidence. Section 2 gives background; Section 3 surveys related work; Section 4 presents the methodology; Section 5 the implementation; Section 6 the pilot; Sections 7–9 discuss findings, threats, and future work; Section 10 concludes; Section 11 is the artifact statement.</w:t>
      </w:r>
    </w:p>
    <w:p>
      <w:pPr>
        <w:pStyle w:val="Heading1"/>
      </w:pPr>
      <w:r>
        <w:t xml:space="preserve">2. Background</w:t>
      </w:r>
    </w:p>
    <w:p>
      <w:pPr>
        <w:pStyle w:val="Heading2"/>
      </w:pPr>
      <w:r>
        <w:t xml:space="preserve">2.1 The Qiskit transpiler</w:t>
      </w:r>
    </w:p>
    <w:p>
      <w:pPr>
        <w:spacing w:after="120"/>
        <w:jc w:val="both"/>
      </w:pPr>
      <w:r>
        <w:t xml:space="preserve">Qiskit compiles an abstract circuit to a target backend through a staged pass manager [9]. The canonical stages are layout, routing, translation, optimization, and scheduling, bundled at optimization levels 0–3. Two properties matter for testing: the actually executed passes depend on the circuit, backend, configuration, and the exact Qiskit revision (so they must be observed, not inferred from source); and transpilation may permute qubits, so a transpiled circuit equals the original only modulo a layout permutation.</w:t>
      </w:r>
    </w:p>
    <w:p>
      <w:pPr>
        <w:pStyle w:val="Heading2"/>
      </w:pPr>
      <w:r>
        <w:t xml:space="preserve">2.2 Transpiler regression types and their manifestation</w:t>
      </w:r>
    </w:p>
    <w:p>
      <w:pPr>
        <w:spacing w:after="120"/>
        <w:jc w:val="both"/>
      </w:pPr>
      <w:r>
        <w:t xml:space="preserve">We distinguish what kind of defect a regression is from how, and indeed whether, it shows up in an observable signal, because the gap between these two is the central finding of the pilot. The fault-type grouping itself is conventional. The correctness group contains functional faults (a compilation failure) and semantic faults (a different unitary or output). The quality group covers circuit-quality faults, such as a worse two-qubit count or a larger depth. The performance group covers compilation-performance faults. These groupings are not mechanical: a crash is not automatically a semantic fault, and an increase in two-qubit count is not a quality regression if the depth improves substantially. For that reason we judge quality with a Pareto rule over pre-declared thresholds and report the two metrics separately.</w:t>
      </w:r>
    </w:p>
    <w:p>
      <w:pPr>
        <w:spacing w:after="120"/>
        <w:jc w:val="both"/>
      </w:pPr>
      <w:r>
        <w:t xml:space="preserve">Crucially, two regressions of the same fault type can manifest in very different observable signals, and some manifest in signals a black-box, output-only oracle never inspects. We therefore use a fault-manifestation taxonomy, the channel through which a regression could be detected:</w:t>
      </w:r>
    </w:p>
    <w:p>
      <w:pPr>
        <w:spacing w:after="80"/>
      </w:pPr>
      <w:r>
        <w:rPr>
          <w:b/>
          <w:bCs/>
        </w:rPr>
        <w:t xml:space="preserve">Table 1. Study-specific fault-manifestation taxonomy (detection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c>
          <w:tcPr>
            <w:tcW w:type="dxa" w:w="3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Manifestation channel</w:t>
            </w:r>
          </w:p>
        </w:tc>
        <w:tc>
          <w:tcPr>
            <w:tcW w:type="dxa" w:w="40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Observable signal</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Output oracle sees it?</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output_semantic</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different unitary/output state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 (within oracle width)</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compilation_failure</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crash, exception, invalid circuit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circuit_quality</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worse two-qubit count or depth</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slower / more memory-hungry compilation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 if over the screen</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transpiler_contract_or_metadata</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wrong internal property (TranspileLayout, final_layout, routing_permutation) with applied output still correct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 invisible to output oracles</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determinism_or_reproducibility</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output varies across fixed-seed runs, often only under a specific (e.g. noisy) target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Only with a determinism oracle on that target</w:t>
            </w:r>
          </w:p>
        </w:tc>
      </w:tr>
    </w:tbl>
    <w:p>
      <w:pPr>
        <w:spacing w:before="80"/>
      </w:pPr>
    </w:p>
    <w:p>
      <w:pPr>
        <w:spacing w:after="120"/>
        <w:jc w:val="both"/>
      </w:pPr>
      <w:r>
        <w:t xml:space="preserve">This taxonomy is what makes the historical results in Section 6.4 interpretable, since a regression can be entirely real and yet sit in a channel that our black-box pipeline never observes. The ElidePermutations regression (H1), for instance, manifests in the transpiler_contract_or_metadata channel: it corrupts a layout property rather than producing a wrong output unitary. The VF2Layout regression (H3) manifests as determinism_or_reproducibility under a noisy target, which is neither a circuit_quality nor an output_semantic signal. In both cases a “pass” from the output oracle is exactly what one should expect, and it is not evidence that the oracle under-detects quality or semantic faults.</w:t>
      </w:r>
    </w:p>
    <w:p>
      <w:pPr>
        <w:pStyle w:val="Heading2"/>
      </w:pPr>
      <w:r>
        <w:t xml:space="preserve">2.3 The oracle problem for transpilation</w:t>
      </w:r>
    </w:p>
    <w:p>
      <w:pPr>
        <w:spacing w:after="120"/>
        <w:jc w:val="both"/>
      </w:pPr>
      <w:r>
        <w:t xml:space="preserve">Deciding whether a transpiled circuit is correct is an instance of the quantum oracle problem [10], which is the central obstacle catalogued in the general test-oracle survey [11]. When a circuit is small and unitary-pure, one can normalize the transpiled layout and then compare unitaries modulo global phase. This comparison is exact, but it does not scale, because an n-qubit operator already has 2^n × 2^n complex entries. Larger or non-unitary circuits must instead be checked with sampled-statevector, observable, metamorphic, or structural methods [5]. One consequence is central to our findings: a black-box oracle only observes the output, so a fault that corrupts internal metadata while leaving the output unitary intact can remain invisible to it. Dedicated quantum equivalence-checking methods exploit reversibility and simulation to compare a circuit before and after compilation efficiently [12], yet they too reason about the output map and not about a transpiler's internal contracts.</w:t>
      </w:r>
    </w:p>
    <w:p>
      <w:pPr>
        <w:pStyle w:val="Heading2"/>
      </w:pPr>
      <w:r>
        <w:t xml:space="preserve">2.4 Rate-of-detection metrics</w:t>
      </w:r>
    </w:p>
    <w:p>
      <w:pPr>
        <w:spacing w:after="120"/>
        <w:jc w:val="both"/>
      </w:pPr>
      <w:r>
        <w:t xml:space="preserve">Classically, prioritization is measured by APFD and by its cost-cognizant variant APFDc, which weights detection by cost and severity [13, 14]. APFDc, however, assumes that a single common ordering exposes multiple faults. In our setting each event typically has only one fault, ranked under its own ordering, so APFDc is not appropriate as a headline metric. We therefore rely on per-event detection-curve summaries, averaged across events, with the cohorts reported separately.</w:t>
      </w:r>
    </w:p>
    <w:p>
      <w:pPr>
        <w:pStyle w:val="Heading1"/>
      </w:pPr>
      <w:r>
        <w:t xml:space="preserve">3. Related Work</w:t>
      </w:r>
    </w:p>
    <w:p>
      <w:pPr>
        <w:spacing w:after="120"/>
        <w:jc w:val="both"/>
      </w:pPr>
      <w:r>
        <w:t xml:space="preserve">We position the work across three threads and close with an explicit comparison.</w:t>
      </w:r>
    </w:p>
    <w:p>
      <w:pPr>
        <w:pStyle w:val="Heading2"/>
      </w:pPr>
      <w:r>
        <w:t xml:space="preserve">3.1 Regression test selection and prioritization</w:t>
      </w:r>
    </w:p>
    <w:p>
      <w:pPr>
        <w:spacing w:after="120"/>
        <w:jc w:val="both"/>
      </w:pPr>
      <w:r>
        <w:t xml:space="preserve">Rothermel et al. introduced systematic test-case prioritization and the rate-of-fault-detection measure [15], and Elbaum et al. established APFD together with a family of empirical studies [13]. The cost-cognizant variant APFDc later incorporated varying test costs and fault severities [14], and it is the conceptual ancestor of our objective. In their survey, Yoo and Harman observe that change-, history-, and cost-aware heuristics remain persistently strong baselines [3]. The continuous-integration setting reinforces this: lightweight selection and prioritization that avoid coverage instrumentation are markedly more cost-effective [16], a large empirical study of readily available CI and version-control metadata finds that simple, well-known heuristics frequently outperform complex machine-learned models [17], and information-retrieval-based prioritization reports the same pattern, with simple, well-tuned heuristics staying competitive [18]. This accumulated evidence is what leads us to a transparent selector and to a cautious reading of the pilot. Two adaptations are nevertheless required for transpilation. First, the fault is a compiler regression that spans correctness, quality, and performance, rather than a test failure in the program under test. Second, the oracle must decide circuit equivalence modulo qubit-layout permutation. We keep the cost-aware objective and the strong baselines, but we redefine the fault model, the oracles, and the metrics.</w:t>
      </w:r>
    </w:p>
    <w:p>
      <w:pPr>
        <w:pStyle w:val="Heading2"/>
      </w:pPr>
      <w:r>
        <w:t xml:space="preserve">3.2 Learning-based test selection</w:t>
      </w:r>
    </w:p>
    <w:p>
      <w:pPr>
        <w:spacing w:after="120"/>
        <w:jc w:val="both"/>
      </w:pPr>
      <w:r>
        <w:t xml:space="preserve">At industrial scale, predictive (learned) test selection trains gradient-boosted models on large histories of test outcomes, and it can halve testing cost while keeping most of the failure signal [4]. Such methods are data-hungry, since they presuppose a large labelled corpus of per-test outcomes, and no such corpus yet exists for quantum-transpiler regressions. A broad literature applies reinforcement learning [19], multi-armed bandits for volatile test pools [20], and other learners surveyed systematically [21] to CI test prioritization, and all of them require substantial historical signal, which only reinforces our staged plan. Because simple heuristics are known to stay competitive when labelled data are sparse [3], we propose a transparent selector first and reserve a learned comparison for a later scale-up under identical anti-leakage rules.</w:t>
      </w:r>
    </w:p>
    <w:p>
      <w:pPr>
        <w:pStyle w:val="Heading2"/>
      </w:pPr>
      <w:r>
        <w:t xml:space="preserve">3.3 Quantum software and compiler testing</w:t>
      </w:r>
    </w:p>
    <w:p>
      <w:pPr>
        <w:spacing w:after="120"/>
        <w:jc w:val="both"/>
      </w:pPr>
      <w:r>
        <w:t xml:space="preserve">Quantum software testing must also contend with the oracle problem [10]. Metamorphic and differential testing are two ways to mitigate it. MorphQ, for example, generates diverse programs and applies quantum-specific metamorphic relations to test Qiskit, and in doing so exposes real bugs [5], while MorphQ++ reproduces and extends metamorphic testing of quantum compilers [6]. Quantum software engineering is by now an established research thread, including within this venue [22], where the transpiler itself is an active optimization target [23]. Several recent frameworks sharpen the picture. QuCheck offers property-based testing of quantum programs in Qiskit, with flexible generators, assertions, and preconditions that are evaluated through mutation analysis [7]. QEMI adapts equivalence-modulo-inputs compiler testing to quantum stacks, generating program variants by removing dead code and uncovering crash and behavioural bugs across Qiskit, Q#, and Cirq [8]. QDiff applies differential testing to quantum software stacks, exploring semantics-preserving variants and filtering circuits by static characteristics to compare Qiskit, Cirq, and Pyquil [24], and QSPE enumerates skeletal program variants with statevector-based validation, reporting 81 Qiskit miscompilations that developers have acknowledged [25]. Concolic testing targets transpiler decision points, parameter thresholds, and layout heuristics, surfacing missed optimizations and semantic deviations in Qiskit passes [26]. A complementary, formal line of work verifies the compiler directly: Giallar provides push-button verification of Qiskit passes, verifying 44 of 56 passes across 13 versions and uncovering three bugs [27]. Static analysis and bug benchmarks round out the landscape, with LintQ detecting quantum-specific defects that general linters miss [28] and Bugs4Q curating real, reproducible Qiskit bugs [29]. Mutation analysis has likewise been adapted to quantum programs in Muskit [30] and QMutPy [31], and a recent roadmap explicitly names transpilation as an under-studied testing target [32]. Empirical studies confirm that compiler and transpiler components are a significant source of defects [1], and Benchpress benchmarks circuit construction, manipulation, and compilation across SDKs [2]. All of these efforts aim at bug finding, test generation, or benchmarking; much like MorphQ, they create or transform programs in order to expose defects, rather than select among an existing budgeted suite. None of them addresses budgeted selection of existing tests for an incoming transpiler change with quantum-aware oracles, cohort-separated events, CPU-time cost calibration, and leakage-safe temporal evaluation. To our knowledge, cost-aware regression test selection for the quantum transpiler has not previously been formalized or piloted. Crucially, all of these approaches — equivalence checking, metamorphic and differential testing, and direct verification alike — judge correctness by output equivalence; none asks whether that criterion itself misses a class of transpiler fault, which is the question this paper takes up.</w:t>
      </w:r>
    </w:p>
    <w:p>
      <w:pPr/>
      <w:r>
        <w:rPr/>
        <w:t>A parallel line questions whether measurement-based output validation is sufficient for quantum programs at all: Ye et al. [40] argue that it is not and advocate richer validation signals at the level of the quantum program and its measured outputs. Our result is the compiler-level analogue and, if anything, stronger — even an exact output-map comparison, the strongest form of output equivalence rather than a measurement-based approximation of it, cannot observe the contract/metadata, determinism, and global-phase regressions we characterize here.</w:t>
      </w:r>
    </w:p>
    <w:p>
      <w:pPr>
        <w:pStyle w:val="Heading2"/>
      </w:pPr>
      <w:r>
        <w:t xml:space="preserve">3.4 Positioning</w:t>
      </w:r>
    </w:p>
    <w:p>
      <w:pPr>
        <w:spacing w:after="120"/>
        <w:jc w:val="both"/>
      </w:pPr>
      <w:r>
        <w:t>The threads above share an implicit assumption: that a compiled circuit is correct when it is output-equivalent to the source, modulo global phase and qubit permutation. Equivalence checking takes this as the correctness criterion; metamorphic and differential testing (MorphQ [5], QDiff [24], QEMI [8], QSPE [25]) generate program variants and compare their outputs under it; even direct verification (Giallar [27]) certifies input–output behaviour. Our primary contribution is orthogonal to all of these: we show that the output-equivalence criterion is systematically incomplete — a substantial minority of real transpiler regressions corrupt layout/permutation metadata, determinism, or global phase while leaving the output map correct — and we build the fault-class-matched oracle family that observes these channels, verified from source and replicated across compilers. Framed against a fuller reference regression screen — output equivalence augmented with compilation-validity, circuit-quality, and performance oracles — output equivalence is the strongest single member, yet these contract/metadata, determinism, and global-phase channels remain unobserved even under that broader screen, which is why they require dedicated, fault-class-matched oracles. In doing so, contract-level metamorphic relations (MR-1, permutation consistency) extend program-level metamorphic testing to transpiler metadata, an open direction. Secondarily, on the methodological side, we situate these oracles in the first leakage-safe, cost-aware regression-test-selection setting for the quantum transpiler. Table 2 contrasts that setting with the closest threads (Open QBench [33] benchmarks platform performance, complementary to selecting and ordering existing tests): the distinguishing combination is a quantum-aware oracle applied to selecting and ordering existing tests under an explicit cost budget, with leakage-safe temporal evaluation and cohort separation — individually present in prior work, but not in combination for the quantum transpiler. (● = yes, ◐ = partial, ○ = no/not applicable.)</w:t>
      </w:r>
    </w:p>
    <w:p>
      <w:pPr>
        <w:spacing w:after="80"/>
      </w:pPr>
      <w:r>
        <w:rPr>
          <w:b/>
          <w:bCs/>
        </w:rPr>
        <w:t xml:space="preserve">Table 2. Positioning relative to prior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1000"/>
        <w:gridCol w:w="1000"/>
        <w:gridCol w:w="1000"/>
        <w:gridCol w:w="1000"/>
        <w:gridCol w:w="1000"/>
      </w:tblGrid>
      <w:tr>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Approach</w:t>
            </w:r>
          </w:p>
        </w:tc>
        <w:tc>
          <w:tcPr>
            <w:tcW w:type="dxa" w:w="21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Primary goal</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QA oracle</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Cost-aware</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Selects/orders existing</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Leakage-safe temporal</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Cohort sep.</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Classical RTP/TCP</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prioritize tests of a program</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Predictive selection</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learned selection at scale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MorphQ / MorphQ++</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metamorphic bug finding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QuCheck</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property-based testing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QEMI</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EMI stack bug finding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QDiff</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differential stack bug finding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QSPE</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skeletal-program differential testing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Giallar</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formal Qiskit-pass verification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Benchpress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SDK compilation benchmarking</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This work</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cost-aware test SELECTION for the transpiler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bl>
    <w:p>
      <w:pPr>
        <w:spacing w:before="80"/>
      </w:pPr>
    </w:p>
    <w:p>
      <w:pPr>
        <w:pStyle w:val="Heading1"/>
      </w:pPr>
      <w:r>
        <w:t xml:space="preserve">4. Methodology</w:t>
      </w:r>
    </w:p>
    <w:p>
      <w:pPr>
        <w:pStyle w:val="Heading2"/>
      </w:pPr>
      <w:r>
        <w:t xml:space="preserve">4.1 Problem formulation</w:t>
      </w:r>
    </w:p>
    <w:p>
      <w:pPr>
        <w:spacing w:after="120"/>
        <w:jc w:val="both"/>
      </w:pPr>
      <w:r>
        <w:t xml:space="preserve">Given a transpiler change and a fixed per-event budget B, select and order tests to maximize early detection of regressions. Conceptually each test is scored by expected_value ≈ P(regression | change, circuit, backend) × impact ÷ expected_cost, and tests are chosen greedily within B. P(·) is the conceptual target; the proposed selector realizes it with a transparent surrogate (§4.5). The primary evaluation unit is the (event_id, test_id) pair.</w:t>
      </w:r>
    </w:p>
    <w:p>
      <w:pPr>
        <w:pStyle w:val="Heading2"/>
      </w:pPr>
      <w:r>
        <w:t xml:space="preserve">4.2 Change-event model and cohorts</w:t>
      </w:r>
    </w:p>
    <w:p>
      <w:pPr>
        <w:spacing w:after="120"/>
        <w:jc w:val="both"/>
      </w:pPr>
      <w:r>
        <w:t xml:space="preserve">The unit of the dataset is a change event, not a commit: an event is a tuple (baseline_revision, candidate_revision, change_metadata, fault_id), each carrying a unique fault_id and a fault_type. Every event declares one of three cohorts, and the cohorts are reported separately and never pooled. A forward_regression event pairs the last known-good parent (the baseline) with the regression-inducing commit (the candidate), and it is the only cohort that models the real CI question. A fix_boundary_differential event is used in reverse orientation when the introducing commit has not been traced: it pairs a fix commit (the baseline) with its parent (the candidate), which yields a fault-revealing differential that we never describe as a prediction of an incoming change. A mutation event injects a single controlled fault on a base revision and is used only to fill gaps in fault-type coverage. Throughout, historical events are preferred.</w:t>
      </w:r>
    </w:p>
    <w:p>
      <w:pPr>
        <w:spacing w:after="140" w:before="140"/>
        <w:jc w:val="center"/>
      </w:pPr>
      <w:r>
        <w:drawing>
          <wp:inline distT="0" distB="0" distL="0" distR="0">
            <wp:extent cx="5905500" cy="2038350"/>
            <wp:effectExtent t="0" r="0" b="0" l="0"/>
            <wp:docPr id="1" name="fig2_cohorts.png" descr="fig2_cohorts.png" title="fig2_coh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38350"/>
                    </a:xfrm>
                    <a:prstGeom prst="rect">
                      <a:avLst/>
                    </a:prstGeom>
                  </pic:spPr>
                </pic:pic>
              </a:graphicData>
            </a:graphic>
          </wp:inline>
        </w:drawing>
      </w:r>
    </w:p>
    <w:p>
      <w:pPr>
        <w:pStyle w:val="Heading2"/>
      </w:pPr>
      <w:r>
        <w:t xml:space="preserve">4.3 Test units, manifest, and provenance</w:t>
      </w:r>
    </w:p>
    <w:p>
      <w:pPr>
        <w:spacing w:after="120"/>
        <w:jc w:val="both"/>
      </w:pPr>
      <w:r>
        <w:t xml:space="preserve">A test unit is a tuple (circuit, backend, transpiler_configuration, oracle). A static manifest stores its metadata, while a separate calibrated profile records the measured baseline cost, the pass stages that actually executed (obtained through instrumentation rather than inferred from filenames), routing observations, and peak memory, keyed by (event_id, baseline_sha, test_id, event_environment_id). Each unit also declares its provenance, one of pre_existing, extracted_from_fix, or synthesized, together with an available_before_candidate flag, and these support the two evaluations described in §4.8.</w:t>
      </w:r>
    </w:p>
    <w:p>
      <w:pPr>
        <w:pStyle w:val="Heading2"/>
      </w:pPr>
      <w:r>
        <w:t xml:space="preserve">4.4 Oracles</w:t>
      </w:r>
    </w:p>
    <w:p>
      <w:pPr>
        <w:spacing w:after="120"/>
        <w:jc w:val="both"/>
      </w:pPr>
      <w:r>
        <w:rPr>
          <w:b/>
          <w:bCs/>
        </w:rPr>
        <w:t xml:space="preserve">Semantic. </w:t>
      </w:r>
      <w:r>
        <w:t xml:space="preserve">The semantic oracle is tiered by applicability and width. For a small circuit (at most 12 qubits) that is unitary-pure and ancilla-free, it checks exact unitary equivalence modulo global phase after first normalizing the layout. For every other circuit it falls back to structural validity, meaning adherence to the basis and to the coupling map. A full 2^n operator is therefore never materialized for large circuits. This mirrors dedicated quantum equivalence-checking practice, which compares the maps of the pre- and post-compilation circuits and exploits reversibility and simulation to stay tractable [12].</w:t>
      </w:r>
    </w:p>
    <w:p>
      <w:pPr>
        <w:spacing w:after="120"/>
        <w:jc w:val="both"/>
      </w:pPr>
      <w:r>
        <w:rPr>
          <w:b/>
          <w:bCs/>
        </w:rPr>
        <w:t xml:space="preserve">Quality. </w:t>
      </w:r>
      <w:r>
        <w:t xml:space="preserve">A Pareto rule over pre-declared thresholds; Δ two-qubit count and Δ depth reported separately; a sensitivity grid is reported and thresholds are fixed before held-out evaluation.</w:t>
      </w:r>
    </w:p>
    <w:p>
      <w:pPr>
        <w:spacing w:after="120"/>
        <w:jc w:val="both"/>
      </w:pPr>
      <w:r>
        <w:rPr>
          <w:b/>
          <w:bCs/>
        </w:rPr>
        <w:t xml:space="preserve">Performance. </w:t>
      </w:r>
      <w:r>
        <w:t xml:space="preserve">A two-stage protocol (median-slowdown screen, then robust effect size); exploratory on a laptop, timed with CPU process time.</w:t>
      </w:r>
    </w:p>
    <w:p>
      <w:pPr>
        <w:spacing w:after="120"/>
        <w:jc w:val="both"/>
      </w:pPr>
      <w:r>
        <w:rPr>
          <w:b/>
          <w:bCs/>
        </w:rPr>
        <w:t xml:space="preserve">Empirical false-positive rate. </w:t>
      </w:r>
      <w:r>
        <w:t xml:space="preserve">A warning is a false positive only if not upheld by independent confirmation, never merely because an oracle fired.</w:t>
      </w:r>
    </w:p>
    <w:p>
      <w:pPr>
        <w:pStyle w:val="Heading2"/>
      </w:pPr>
      <w:r>
        <w:t xml:space="preserve">4.5 The proposed transparent selector (risk_score)</w:t>
      </w:r>
    </w:p>
    <w:p>
      <w:pPr>
        <w:spacing w:after="120"/>
        <w:jc w:val="both"/>
      </w:pPr>
      <w:r>
        <w:t xml:space="preserve">The selector introduces no ML and outputs an interpretable score, not a calibrated probability:</w:t>
      </w:r>
    </w:p>
    <w:p>
      <w:pPr>
        <w:spacing w:after="120"/>
        <w:jc w:val="center"/>
      </w:pPr>
      <w:r>
        <w:rPr>
          <w:rFonts w:ascii="Consolas" w:cs="Consolas" w:eastAsia="Consolas" w:hAnsi="Consolas"/>
        </w:rPr>
        <w:t xml:space="preserve">risk_score = (ε + change_stage_match) × circuit_backend_sensitivity × impact_prior × oracle_confidence ÷ expected_cost × novelty_multiplier</w:t>
      </w:r>
    </w:p>
    <w:p>
      <w:pPr>
        <w:spacing w:after="140" w:before="140"/>
        <w:jc w:val="center"/>
      </w:pPr>
      <w:r>
        <w:drawing>
          <wp:inline distT="0" distB="0" distL="0" distR="0">
            <wp:extent cx="5715000" cy="2476500"/>
            <wp:effectExtent t="0" r="0" b="0" l="0"/>
            <wp:docPr id="1" name="fig3_riskscore.png" descr="fig3_riskscore.png" title="fig3_risk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120"/>
        <w:jc w:val="both"/>
      </w:pPr>
      <w:r>
        <w:t xml:space="preserve">Fault severity (impact_prior) and detection confidence (oracle_confidence) enter as separate multiplicands, so a high-impact test that relies on a weaker oracle is not penalized twice. The ε floor, together with a stage-independent exploration reserve of 10–20%, keeps an incomplete change–stage map from driving useful tests to zero, and unknown or framework-wide changes are routed into that reserve. When no prior qualifying events exist, a neutral cold-start fallback applies. The selector sees only pre-execution information: the candidate’s fault_type, runtime, quality, and labels are never inputs.</w:t>
      </w:r>
    </w:p>
    <w:p>
      <w:pPr>
        <w:spacing w:after="80"/>
      </w:pPr>
      <w:r>
        <w:rPr>
          <w:b/>
          <w:bCs/>
        </w:rPr>
        <w:t xml:space="preserve">Table 3. Frozen risk_score configuration (pre-declared before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Parameter</w:t>
            </w:r>
          </w:p>
        </w:tc>
        <w:tc>
          <w:tcPr>
            <w:tcW w:type="dxa" w:w="5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Value / rule</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epsilon (change-stage floor)</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exploration reserve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15% of budget (admissible range 10–20%)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novelty decay (per repeated family×backend)</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0.5^count</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 criticality (impact_prior)</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GHZ 1.0, QFT 1.5, linear-QAOA 1.3, random-Clifford 1.2</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oracle_confidence</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unitary 1.0, sampled-SV 0.8, property 0.5, structural 0.3</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oracle cost estimate (s)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unitary 0.05, sampled-SV 0.20, property 0.05, structural 0.01</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circuit_backend_sensitivity</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(1+pressure) × (1+two-qubit density) × (1 + n/30)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impact_prior</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criticality × (1+pressure) × (1 + prior-failure-rate)</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cold-start</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prior-failure-rate = 0 ⇒ impact factor 1.0</w:t>
            </w:r>
          </w:p>
        </w:tc>
      </w:tr>
      <w:tr>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tie-breaking / determinism</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ties broken by test_id; seed-deterministic ranking</w:t>
            </w:r>
          </w:p>
        </w:tc>
      </w:tr>
    </w:tbl>
    <w:p>
      <w:pPr>
        <w:spacing w:before="80"/>
      </w:pPr>
    </w:p>
    <w:p>
      <w:pPr>
        <w:pStyle w:val="Heading2"/>
      </w:pPr>
      <w:r>
        <w:t xml:space="preserve">4.6 Baselines and budgeted selection</w:t>
      </w:r>
    </w:p>
    <w:p>
      <w:pPr>
        <w:spacing w:after="120"/>
        <w:jc w:val="both"/>
      </w:pPr>
      <w:r>
        <w:t xml:space="preserve">Five baselines observe the same budget: random, cheapest-first, diversity-only, history-only, and change-stage heuristic [3]. Selection reserves 10–20% of the budget for stage-independent exploration, fills the main allocation greedily by score, ensures ≥ 1 representative per circuit family where the budget permits, never exceeds the budget, and is seed-deterministic.</w:t>
      </w:r>
    </w:p>
    <w:p>
      <w:pPr>
        <w:spacing w:after="120"/>
        <w:jc w:val="both"/>
      </w:pPr>
      <w:r>
        <w:t xml:space="preserve">The baselines behave as follows. Random applies a seeded uniform shuffle of the candidate units. Cheapest-first orders them by ascending expected cost. Diversity-only greedily covers (circuit family × backend) combinations in ascending order of cost, and then adds the cheapest remaining units. History-only ranks units by descending prior failure rate, computed only from events strictly before the event date, breaks ties by cost, and reduces to cheapest-first under a cold start. Change-stage prefers units whose declared pass stages include the modified stage, again breaking ties by cost.</w:t>
      </w:r>
    </w:p>
    <w:p>
      <w:pPr>
        <w:pStyle w:val="Heading2"/>
      </w:pPr>
      <w:r>
        <w:t xml:space="preserve">4.7 Metrics</w:t>
      </w:r>
    </w:p>
    <w:p>
      <w:pPr>
        <w:spacing w:after="120"/>
        <w:jc w:val="both"/>
      </w:pPr>
      <w:r>
        <w:t xml:space="preserve">Per event and averaged, cohorts/sources separated: Recall@budget, normalized TTFR, detection rate at {5,10,20,40}% budget, area under the detection-vs-budget curve, selection overhead, diversity coverage, and the empirical oracle FP rate. APFDc is reported only for the atypical multiple-fault-per-ordering case.</w:t>
      </w:r>
    </w:p>
    <w:p>
      <w:pPr>
        <w:pStyle w:val="Heading2"/>
      </w:pPr>
      <w:r>
        <w:t xml:space="preserve">4.8 Anti-leakage controls</w:t>
      </w:r>
    </w:p>
    <w:p>
      <w:pPr>
        <w:spacing w:after="120"/>
        <w:jc w:val="both"/>
      </w:pPr>
      <w:r>
        <w:t xml:space="preserve">Four controls enforce leakage safety. The first is a group-level temporal split keyed by split_group_id = base_revision + mutation_family, which sends any group that straddles the cutoff entirely to the test side. The second is provenance-driven: a Primary CI evaluation restricts the candidates to tests that were available before the candidate, whereas post-fix targeted triggers are confined to a Secondary retrospective evaluation. The third freezes the change–stage map before held-out evaluation, and any later refinement is performed on training events only and is versioned. The fourth calibrates cost with CPU process time (time.process_time) and retains wall-clock time only as a secondary reference.</w:t>
      </w:r>
    </w:p>
    <w:p>
      <w:pPr>
        <w:pStyle w:val="Heading2"/>
      </w:pPr>
      <w:r>
        <w:t xml:space="preserve">4.9 Validity gates and claim scope</w:t>
      </w:r>
    </w:p>
    <w:p>
      <w:pPr>
        <w:spacing w:after="120"/>
        <w:jc w:val="both"/>
      </w:pPr>
      <w:r>
        <w:t xml:space="preserve">Six gates check implementation correctness before any result is reported: budget compliance, reproducibility, absence of leakage, label reproducibility from the write-once artifacts, metric correctness against hand-computed cases, and oracle coverage. A claim-scope rule then forbids any headline temporal-generalization claim while fewer than three forward_regression events are verified in the held-out cohort, and in that situation results are reported per event, as pilot evidence. Whether the selector actually beats the baselines is treated as the empirical outcome, never as a precondition for reporting.</w:t>
      </w:r>
    </w:p>
    <w:p>
      <w:pPr>
        <w:pStyle w:val="Heading1"/>
      </w:pPr>
      <w:r>
        <w:t xml:space="preserve">5. Implementation</w:t>
      </w:r>
    </w:p>
    <w:p>
      <w:pPr>
        <w:spacing w:after="140" w:before="140"/>
        <w:jc w:val="center"/>
      </w:pPr>
      <w:r>
        <w:drawing>
          <wp:inline distT="0" distB="0" distL="0" distR="0">
            <wp:extent cx="6096000" cy="190500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05000"/>
                    </a:xfrm>
                    <a:prstGeom prst="rect">
                      <a:avLst/>
                    </a:prstGeom>
                  </pic:spPr>
                </pic:pic>
              </a:graphicData>
            </a:graphic>
          </wp:inline>
        </w:drawing>
      </w:r>
    </w:p>
    <w:p>
      <w:pPr>
        <w:spacing w:after="120"/>
        <w:jc w:val="both"/>
      </w:pPr>
      <w:r>
        <w:t xml:space="preserve">The methodology is realized in a Python prototype, cart, organized by phase (manifest, events, oracles, labels, selectors, metrics, gates) with a CLI (manifest, events, ground-truth, select, evaluate, historical-run).</w:t>
      </w:r>
    </w:p>
    <w:p>
      <w:pPr>
        <w:spacing w:after="120"/>
        <w:jc w:val="both"/>
      </w:pPr>
      <w:r>
        <w:rPr>
          <w:b/>
          <w:bCs/>
        </w:rPr>
        <w:t xml:space="preserve">Two-layer environment. </w:t>
      </w:r>
      <w:r>
        <w:t xml:space="preserve">Reproducing historical regressions means building several different Qiskit revisions, which is incompatible with a single pinned Qiskit. We therefore separate a fixed harness layer (Python 3.11, Benchpress, and the oracle and measurement stack, all lockfile-pinned) from a Qiskit-under-test layer that is built from source for each event. Instrumentation is anchored on Qiskit 2.4.2 within the 2.x window. Building from source requires a Rust toolchain.</w:t>
      </w:r>
    </w:p>
    <w:p>
      <w:pPr>
        <w:spacing w:after="120"/>
        <w:jc w:val="both"/>
      </w:pPr>
      <w:r>
        <w:rPr>
          <w:b/>
          <w:bCs/>
        </w:rPr>
        <w:t xml:space="preserve">Per-event from-source runner. </w:t>
      </w:r>
      <w:r>
        <w:t xml:space="preserve">For historical events, a runner builds the baseline and candidate revisions into isolated virtual environments. In each environment a worker runs as a subprocess, transpiles the test units with its own Qiskit, and serializes the outputs (as QPY) together with the CPU timings. The harness then loads both sets of results back and applies the shared oracle pipeline. In this way the system under test stays isolated, while a single oracle implementation is reused for both revisions.</w:t>
      </w:r>
    </w:p>
    <w:p>
      <w:pPr>
        <w:spacing w:after="120"/>
        <w:jc w:val="both"/>
      </w:pPr>
      <w:r>
        <w:rPr>
          <w:b/>
          <w:bCs/>
        </w:rPr>
        <w:t xml:space="preserve">Reproducibility artifacts. </w:t>
      </w:r>
      <w:r>
        <w:t xml:space="preserve">Raw oracle evidence is written once and never overwritten, and the derived labels are regenerated from it so that they reproduce exactly, including the timing-dependent fields. The per-event environment recipes, the seeds, the pre-declared thresholds, the frozen stage map, and the frozen per-run configurations are all committed. The prototype also ships an automated test suite, with the six validity gates wired directly into evaluate.</w:t>
      </w:r>
    </w:p>
    <w:p>
      <w:pPr>
        <w:spacing w:after="120"/>
        <w:jc w:val="both"/>
      </w:pPr>
      <w:r>
        <w:rPr>
          <w:b/>
          <w:bCs/>
        </w:rPr>
        <w:t xml:space="preserve">What is implemented versus exercised in this pilot. </w:t>
      </w:r>
      <w:r>
        <w:t xml:space="preserve">To avoid over-stating coverage we separate three states.</w:t>
      </w:r>
    </w:p>
    <w:p>
      <w:pPr>
        <w:pStyle w:val="ListParagraph"/>
        <w:numPr>
          <w:ilvl w:val="0"/>
          <w:numId w:val="3"/>
        </w:numPr>
        <w:spacing w:after="60"/>
      </w:pPr>
      <w:r>
        <w:rPr>
          <w:b/>
          <w:bCs/>
        </w:rPr>
        <w:t xml:space="preserve">Implemented and exercised in the primary mutation pilot: </w:t>
      </w:r>
      <w:r>
        <w:t xml:space="preserve">the static manifest and instrumented profiling; the mutation engine (nine semantics-preserving quality operators); the tiered semantic oracle (exact ≤ 12 qubits, structural above); the quality Pareto oracle; the five baselines and the proposed risk_score selector; budgeted selection; the metric suite; the six validity gates; and the held-out evaluation on the nine-event × 32-unit (288-label) mutation cohort.</w:t>
      </w:r>
    </w:p>
    <w:p>
      <w:pPr>
        <w:pStyle w:val="ListParagraph"/>
        <w:numPr>
          <w:ilvl w:val="0"/>
          <w:numId w:val="3"/>
        </w:numPr>
        <w:spacing w:after="60"/>
      </w:pPr>
      <w:r>
        <w:rPr>
          <w:b/>
          <w:bCs/>
        </w:rPr>
        <w:t xml:space="preserve">Implemented and exercised in the secondary historical validation: </w:t>
      </w:r>
      <w:r>
        <w:t xml:space="preserve">the per-event from-source runner; the fault-class-matched oracle family — the layout/permutation contract differ, the metamorphic MR-1 (permutation-consistency) oracle, and the global-phase tracker — and the source verification of H1 (ElidePermutations #14603), H2 (final_layout composition #14919), and the CommutativeCancellation global-phase fix #14956, on each of which the black-box output oracle is blind while the matched oracle detects the fault; the targeted-trigger units and the Secondary retrospective evaluation; and the exploratory performance Stage-1 screen. The determinism (#14730) and small-overhead (#14120) events remain unreproduced or under-powered at this scale.</w:t>
      </w:r>
    </w:p>
    <w:p>
      <w:pPr>
        <w:pStyle w:val="ListParagraph"/>
        <w:numPr>
          <w:ilvl w:val="0"/>
          <w:numId w:val="3"/>
        </w:numPr>
        <w:spacing w:after="60"/>
      </w:pPr>
      <w:r>
        <w:rPr>
          <w:b/>
          <w:bCs/>
        </w:rPr>
        <w:t xml:space="preserve">Deferred: </w:t>
      </w:r>
      <w:r>
        <w:t xml:space="preserve">a noisy-target determinism oracle; a broader sampled-statevector campaign at scale (13–22 qubits); a controlled-hardware, three-run-median performance protocol; and any learned selector.</w:t>
      </w:r>
    </w:p>
    <w:p>
      <w:pPr>
        <w:pStyle w:val="Heading1"/>
      </w:pPr>
      <w:r>
        <w:t xml:space="preserve">6. Evaluation</w:t>
      </w:r>
    </w:p>
    <w:p>
      <w:pPr>
        <w:spacing w:after="120"/>
        <w:jc w:val="both"/>
      </w:pPr>
      <w:r>
        <w:t xml:space="preserve">We evaluate the three research questions on a micro corpus, on a single 16 GB laptop, anchored on Qiskit 2.4.2.</w:t>
      </w:r>
    </w:p>
    <w:p>
      <w:pPr>
        <w:pStyle w:val="Heading2"/>
      </w:pPr>
      <w:r>
        <w:t xml:space="preserve">6.1 Corpus and setup</w:t>
      </w:r>
    </w:p>
    <w:p>
      <w:pPr>
        <w:spacing w:after="120"/>
        <w:jc w:val="both"/>
      </w:pPr>
      <w:r>
        <w:t xml:space="preserve">The corpus has fourteen change events (Table 4): nine controlled quality mutations on the 2.4.2 base and five historical Qiskit transpiler regressions identified from fix pull requests, each with exact candidate/baseline commit SHAs. To stay within a single 16 GB laptop the test corpus is width-capped at 8 qubits, enumerating 4 circuit families × 2 widths × 2 backend topologies × 2 optimization levels = 32 test units (Table 5); every unit lies within the exact-unitary oracle tier. The Primary CI evaluation runs on the verified mutation cohort, nine operators × 32 units = 288 (event, test) labels, because the five historical events require per-event from-source builds and are reported separately in the audit (Table 8). All nine operators have intended_mutation_target = quality; eight of the nine are detected by the black-box oracle on this corpus (only drop_vf2_post_layout is not), and because a quality-targeted mutation can still surface other observable labels for particular circuit–backend configurations we distinguish intended_mutation_target from observed_test_unit_label. The primary-CI eligibility rule (Section 4.8) is implemented and exercised synthetically on this mutation cohort; it is not yet exercised within the selection experiment on a forward-regression event — the three verified forward-regression events (§6.7) are used for the observability demonstration, and carrying them through the selection evaluation is deferred to the scale-up. Thresholds, seeds, and the stage map are pre-declared/frozen before evaluation, and no selector parameter was tuned on any event. Controlled mutation is an established way to construct faulty quantum-circuit benchmarks with varied, characterizable detectability [34], and our reporting, covering objects under test, baselines, setup, configuration, and artifact support, follows recent guidance on empirical quantum-software-testing studies [35].</w:t>
      </w:r>
    </w:p>
    <w:p>
      <w:pPr>
        <w:spacing w:after="80"/>
      </w:pPr>
      <w:r>
        <w:rPr>
          <w:b/>
          <w:bCs/>
        </w:rPr>
        <w:t xml:space="preserve">Table 4. Audited event ledger (cohorts never pooled).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1750"/>
        <w:gridCol w:w="1900"/>
        <w:gridCol w:w="2760"/>
      </w:tblGrid>
      <w:tr>
        <w:tc>
          <w:tcPr>
            <w:tcW w:type="dxa" w:w="29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Event(s)</w:t>
            </w:r>
          </w:p>
        </w:tc>
        <w:tc>
          <w:tcPr>
            <w:tcW w:type="dxa" w:w="17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Cohort</w:t>
            </w:r>
          </w:p>
        </w:tc>
        <w:tc>
          <w:tcPr>
            <w:tcW w:type="dxa" w:w="1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Fault type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Status</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9 mutation operators</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verified (pilot)</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H4 VF2PostLayout no-op (#14120)</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forward_regression</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blocked (perf below screen)</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H1 ElidePermutations (#14603)</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contract/metadata</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source-verified; output-invisible</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H3 VF2Layout determinism (#14730)</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unreproduced (needs noisy target)</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H2 final_layout composition (#14919)</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contract/metadata</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source-verified; output-invisible</w:t>
            </w:r>
          </w:p>
        </w:tc>
      </w:tr>
      <w:tr>
        <w:tc>
          <w:tcPr>
            <w:tcW w:type="dxa" w:w="29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H5 VF2Layout panic (#16285)</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fix_boundary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functional</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blocked (not run)</w:t>
            </w:r>
          </w:p>
        </w:tc>
      </w:tr>
    </w:tbl>
    <w:p>
      <w:pPr>
        <w:spacing w:before="80"/>
      </w:pPr>
    </w:p>
    <w:p>
      <w:pPr>
        <w:spacing w:after="80"/>
      </w:pPr>
      <w:r>
        <w:rPr>
          <w:b/>
          <w:bCs/>
        </w:rPr>
        <w:t xml:space="preserve">Table 5. Test corpus composition (32 units; width-capped at 8 qubits to keep compute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Dimension</w:t>
            </w:r>
          </w:p>
        </w:tc>
        <w:tc>
          <w:tcPr>
            <w:tcW w:type="dxa" w:w="4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Values</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Count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 family</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GHZ, QFT, linear-QAOA, random-Clifford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Width (qubits)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5, 8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Backend topology</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linear, heavy-hex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 level</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1, 3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Total units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Semantic oracle tier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exact-unitary (all widths ≤ 12)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32 units</w:t>
            </w:r>
          </w:p>
        </w:tc>
      </w:tr>
    </w:tbl>
    <w:p>
      <w:pPr>
        <w:spacing w:before="80"/>
      </w:pPr>
    </w:p>
    <w:p>
      <w:pPr>
        <w:spacing w:after="80"/>
      </w:pPr>
      <w:r>
        <w:rPr>
          <w:b/>
          <w:bCs/>
        </w:rPr>
        <w:t xml:space="preserve">Table 6. Per-unit CPU-cost distribution across the 32 corpus units (mean cost per unit across the nine mutation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Statistic</w:t>
            </w:r>
          </w:p>
        </w:tc>
        <w:tc>
          <w:tcPr>
            <w:tcW w:type="dxa" w:w="46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Value (CPU seconds)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minimum</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0.00008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median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0.0082</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mean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0.0515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75th percentile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maximum</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0.3256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coefficient of variation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1.85</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full-suite total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1.65</w:t>
            </w:r>
          </w:p>
        </w:tc>
      </w:tr>
    </w:tbl>
    <w:p>
      <w:pPr>
        <w:spacing w:after="120"/>
        <w:jc w:val="both"/>
      </w:pPr>
      <w:r>
        <w:t xml:space="preserve">Because of the 8-qubit cap, the expensive 12-qubit line-topology units are excluded, so the suite stays cheap (at most 0.33 s per unit) while remaining moderately heterogeneous (CV ≈ 1.85). Broken down by width × backend, the mean per-unit cost ranges from 0.008 s for a 5-qubit unit to 0.17 s for an 8-qubit unit on the line topology. Cost variation is therefore present, but, as the results show, it is not the limiting factor. In absolute terms the entire 32-unit suite runs in roughly 1.65 CPU-seconds (median 0.0082 s per unit), so this pilot does not yet instantiate the cost-pressure regime that motivates cost-aware selection. That regime is exactly what the deferred scale-up targets, by adding expensive oracle tiers and events whose detecting tests are sparse or costly; until then, cheap detectors are abundant and almost any ordering succeeds early.</w:t>
      </w:r>
    </w:p>
    <w:p>
      <w:pPr>
        <w:spacing w:before="80"/>
      </w:pPr>
    </w:p>
    <w:p>
      <w:pPr>
        <w:spacing w:after="80"/>
      </w:pPr>
      <w:r>
        <w:rPr>
          <w:b/>
          <w:bCs/>
        </w:rPr>
        <w:t xml:space="preserve">Table 7. Mutation ledger: verified cohort (9 operators × 32 units = 288 labels). Best-selector event AUC; 8 of 9 operators are detected by the black-box oracle.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100"/>
        <w:gridCol w:w="1000"/>
        <w:gridCol w:w="1000"/>
        <w:gridCol w:w="1060"/>
      </w:tblGrid>
      <w:tr>
        <w:tc>
          <w:tcPr>
            <w:tcW w:type="dxa" w:w="2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Operator</w:t>
            </w:r>
          </w:p>
        </w:tc>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Target stage</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Fault type</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Sem. kept</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Detected?</w:t>
            </w:r>
          </w:p>
        </w:tc>
        <w:tc>
          <w:tcPr>
            <w:tcW w:type="dxa" w:w="10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Best AUC</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disable_optimization_loop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drop_vf2_post_layout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layout / opt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downgrade_routing</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routing</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insert_redundant_cx_pair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drop_optimization_stage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downgrade_layout_trivial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layout</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insert_redundant_x_pair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1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bl>
    <w:p>
      <w:pPr>
        <w:spacing w:before="80"/>
      </w:pPr>
    </w:p>
    <w:p>
      <w:pPr>
        <w:spacing w:after="80"/>
      </w:pPr>
      <w:r>
        <w:rPr>
          <w:b/>
          <w:bCs/>
        </w:rPr>
        <w:t xml:space="preserve">Table 8. Historical-event audit (5 pilot events; H1 and H2 are source-verified through matched oracles — never through the black-box output oracle, which is blind to them by construction; the global-phase source-verification #14956 is reported in §6.7 / Table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000"/>
        <w:gridCol w:w="1100"/>
        <w:gridCol w:w="2460"/>
      </w:tblGrid>
      <w:tr>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ID (PR)</w:t>
            </w:r>
          </w:p>
        </w:tc>
        <w:tc>
          <w:tcPr>
            <w:tcW w:type="dxa" w:w="2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Fault type → channel</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candidate→baseline (short SHA)</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Status</w:t>
            </w:r>
          </w:p>
        </w:tc>
        <w:tc>
          <w:tcPr>
            <w:tcW w:type="dxa" w:w="24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Reason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H1 (#14603)</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semantic → contract/metadata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7c3890da→96fda188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real; output-invisible (source-verified)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corrupts virtual_permutation_layout, not the output unitary → invisible to the output oracle, caught by the contract oracle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H2 (#14919)</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semantic → contract/metadata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14df5941→dfcc5c6c</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real; output-invisible (source-verified)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MR-1 violated on the parent for all three routing passes; output correct up to permutation → output oracle blind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H3 (#14730)</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quality → determinism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056c6413→d33ef533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blocked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non-determinism tied to a noisy Target absent from our coupling-map backend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H4 (#14120)</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 → performance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a18e1516→a8d23667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blocked</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overhead below the 20% Stage-1 screen; single-sample timing under-powered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H5 (#16285)</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functional → compilation_failure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f0fae6f3→0b2cdf2b</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not run</w:t>
            </w:r>
          </w:p>
        </w:tc>
        <w:tc>
          <w:tcPr>
            <w:tcW w:type="dxa" w:w="2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input-specific crash; not yet reproduced</w:t>
            </w:r>
          </w:p>
        </w:tc>
      </w:tr>
    </w:tbl>
    <w:p>
      <w:pPr>
        <w:spacing w:before="80"/>
      </w:pPr>
    </w:p>
    <w:p>
      <w:pPr>
        <w:spacing w:after="80"/>
      </w:pPr>
      <w:r>
        <w:rPr>
          <w:b/>
          <w:bCs/>
        </w:rPr>
        <w:t xml:space="preserve">Table 9. Controlled mutation operators and targeted regression triggers used in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50"/>
        <w:gridCol w:w="1750"/>
        <w:gridCol w:w="2760"/>
      </w:tblGrid>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Name</w:t>
            </w:r>
          </w:p>
        </w:tc>
        <w:tc>
          <w:tcPr>
            <w:tcW w:type="dxa" w:w="18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Kind</w:t>
            </w:r>
          </w:p>
        </w:tc>
        <w:tc>
          <w:tcPr>
            <w:tcW w:type="dxa" w:w="175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Stage / target</w:t>
            </w:r>
          </w:p>
        </w:tc>
        <w:tc>
          <w:tcPr>
            <w:tcW w:type="dxa" w:w="2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Effect / oracle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disable_optimization_loop</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remove peephole loop → residual redundancy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drop_vf2_post_layout</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layout/opt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omit VF2PostLayout → worse layout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downgrade_routing</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routing</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 basic routing → more 2Q/depth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insert_redundant_cx_pair</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append CX–CX identity → +2 2Q gates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drop_optimization_stage</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disable the whole optimization stage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force_opt_level_1</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 optimization level to 1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force_opt_level_0</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 optimization level to 0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downgrade_layout_trivial</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layout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 trivial layout method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insert_redundant_x_pair</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optimization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append X–X identity → +2 1Q gates (quality)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incomplete_basis_translation</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mutation (fallback)</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translation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 1q basis → TranspilerError (functional)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trig-h1-elide-permutations</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targeted (from fix)</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ElidePermutations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PermutationGate+swaps; semantic oracle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trig-h2-final-layout-composition</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targeted (from fix)</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routing final_layout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identity-after-routing; semantic oracle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trig-h3-vf2-all-1q</w:t>
            </w:r>
          </w:p>
        </w:tc>
        <w:tc>
          <w:tcPr>
            <w:tcW w:type="dxa" w:w="18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targeted (from fix)</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VF2Layout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all-1q; determinism (property) oracle</w:t>
            </w:r>
          </w:p>
        </w:tc>
      </w:tr>
    </w:tbl>
    <w:p>
      <w:pPr>
        <w:spacing w:before="80"/>
      </w:pPr>
    </w:p>
    <w:p>
      <w:pPr>
        <w:pStyle w:val="Heading2"/>
      </w:pPr>
      <w:r>
        <w:t xml:space="preserve">6.2 RQ1: Feasibility and rigor</w:t>
      </w:r>
    </w:p>
    <w:p>
      <w:pPr>
        <w:spacing w:after="120"/>
        <w:jc w:val="both"/>
      </w:pPr>
      <w:r>
        <w:t xml:space="preserve">The full pipeline runs from end to end. All six implementation-validity gates pass (Table 10), and the prototype passes 57 automated tests, among them the hand-computed metric checks and a leakage-invariance check. During validation we found and fixed two genuine defects: a CLI flag that silently dropped the targeted-run mode, and a semantic oracle that tried to materialize a 2^18 operator (about 512 GB) on an 18-qubit circuit, which is now capped and guarded by a regression test. We therefore answer RQ1 in the affirmative: the leakage-safe pipeline is operationally sound under the gate audit.</w:t>
      </w:r>
    </w:p>
    <w:p>
      <w:pPr>
        <w:spacing w:after="80"/>
      </w:pPr>
      <w:r>
        <w:rPr>
          <w:b/>
          <w:bCs/>
        </w:rPr>
        <w:t xml:space="preserve">Table 10. Implementation-validity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Gate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Result</w:t>
            </w:r>
          </w:p>
        </w:tc>
      </w:tr>
      <w:tr>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Budget compliance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PASS</w:t>
            </w:r>
          </w:p>
        </w:tc>
      </w:tr>
      <w:tr>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Reproducibility (same seed ⇒ same ranking)</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PASS</w:t>
            </w:r>
          </w:p>
        </w:tc>
      </w:tr>
      <w:tr>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Leakage absence (current-event outcome cannot change ranking)</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PASS</w:t>
            </w:r>
          </w:p>
        </w:tc>
      </w:tr>
      <w:tr>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Label reproducibility from raw artifacts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PASS</w:t>
            </w:r>
          </w:p>
        </w:tc>
      </w:tr>
      <w:tr>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Metric correctness vs hand-computed cases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PASS</w:t>
            </w:r>
          </w:p>
        </w:tc>
      </w:tr>
      <w:tr>
        <w:tc>
          <w:tcPr>
            <w:tcW w:type="dxa" w:w="6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Oracle coverage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PASS</w:t>
            </w:r>
          </w:p>
        </w:tc>
      </w:tr>
    </w:tbl>
    <w:p>
      <w:pPr>
        <w:spacing w:before="80"/>
      </w:pPr>
    </w:p>
    <w:p>
      <w:pPr>
        <w:pStyle w:val="Heading2"/>
      </w:pPr>
      <w:r>
        <w:t xml:space="preserve">6.3 RQ2: Selection effectiveness at pilot scale (a null result)</w:t>
      </w:r>
    </w:p>
    <w:p>
      <w:pPr>
        <w:spacing w:after="120"/>
        <w:jc w:val="both"/>
      </w:pPr>
      <w:r>
        <w:t xml:space="preserve">On the verified mutation cohort (nine events, 32 units each), no selector improved on the simple deterministic baselines or on random ordering, the proposed risk_score included; in fact the proposed selector clearly trailed them (Tables 11–15, Figure 4). Diversity-only attains the best mean AUC at 0.886, the cost, history, and change-stage selectors tie at 0.877, random over 20 seeds reaches a median of 0.783 (with a seed range of 0.613–0.854), and the proposed selector is lowest at 0.692. This deficit is not merely noise. Against diversity-only the effect size is small and negative (Cliff’s δ = −0.30, Vargha–Delaney Â12 = 0.35), while against the cost baselines and random ordering it is negligible (|δ| ≤ 0.07).</w:t>
      </w:r>
    </w:p>
    <w:p>
      <w:pPr>
        <w:spacing w:after="120"/>
        <w:jc w:val="both"/>
      </w:pPr>
      <w:r>
        <w:t xml:space="preserve">The per-event view (Tables 12, 14) explains the aggregate. Eight of the nine mutations are detected, and most are detected at near-zero cost by every selector, so the real differentiator is whether a selector front-loads a cheap detecting unit. The proposed selector reaches the detector marginally earlier on six events, but it loses heavily on the two redundancy mutations (insert_redundant_cx_pair and insert_redundant_x_pair, with per-event AUC of 0.20 and 0.21) and on force_opt_level_1 (0.85): on these events its severity weighting promotes expensive, high-criticality units ahead of the cheap units that actually detect the fault. The ninth mutation, drop_vf2_post_layout, is undetected by every selector, because the black-box quality oracle does not register VF2PostLayout removal on this corpus, which caps every curve at 8/9 ≈ 0.889 (Figure 4).</w:t>
      </w:r>
    </w:p>
    <w:p>
      <w:pPr>
        <w:spacing w:after="120"/>
        <w:jc w:val="both"/>
      </w:pPr>
      <w:r>
        <w:t xml:space="preserve">The null result is not a consequence of uniform cost. The per-unit cost spans 8×10⁻⁵ s to 0.33 s (Table 6, CV ≈ 1.85), and yet the detecting units are cheap and plentiful: the eight detectable mutations are caught by many low-cost units, so every ordering reaches a detector within a small fraction of the suite budget, and detection stays essentially flat across the 5–40% budget fractions. Cost-aware prioritization simply cannot help once cheap detectors already saturate early detection.</w:t>
      </w:r>
    </w:p>
    <w:p>
      <w:pPr>
        <w:spacing w:after="120"/>
        <w:jc w:val="both"/>
      </w:pPr>
      <w:r>
        <w:t xml:space="preserve">We therefore report a null result at this scale. Across the nine events the proposed selector shows no advantage over the simple baselines or random ordering; the bootstrap confidence intervals are wide and overlapping (Table 15), and there is only a weak indication that its extra weighting hurts by deferring cheap detectors. In keeping with the claim-scope rule, and because zero forward-regression events are verified, we make no comparative-effectiveness or temporal-generalization claim.</w:t>
      </w:r>
    </w:p>
    <w:p>
      <w:pPr>
        <w:spacing w:after="120"/>
        <w:jc w:val="both"/>
      </w:pPr>
      <w:r>
        <w:t xml:space="preserve">All nine mutations share the Qiskit 2.4.2 base revision, so this is not a temporal-generalization test. The configured cutoff (2026-01-01) places all nine mutation split-groups on the test side, no mutation event is used for training, and the selector configurations are frozen (Table 3) and were not tuned on these events. We therefore describe the comparison as a frozen-configuration pilot rather than a held-out evaluation.</w:t>
      </w:r>
    </w:p>
    <w:p>
      <w:pPr>
        <w:spacing w:after="80"/>
      </w:pPr>
      <w:r>
        <w:rPr>
          <w:b/>
          <w:bCs/>
        </w:rPr>
        <w:t xml:space="preserve">Table 11. Frozen-configuration pilot metrics on the mutation cohort (9 events, 32 units each). Lower normalized TTFR and higher AUC are better; overhead is mean selection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920"/>
        <w:gridCol w:w="920"/>
        <w:gridCol w:w="920"/>
        <w:gridCol w:w="920"/>
        <w:gridCol w:w="1000"/>
        <w:gridCol w:w="1000"/>
        <w:gridCol w:w="1320"/>
      </w:tblGrid>
      <w:tr>
        <w:tc>
          <w:tcPr>
            <w:tcW w:type="dxa" w:w="2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Selector</w:t>
            </w:r>
          </w:p>
        </w:tc>
        <w:tc>
          <w:tcPr>
            <w:tcW w:type="dxa" w:w="9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r@5%</w:t>
            </w:r>
          </w:p>
        </w:tc>
        <w:tc>
          <w:tcPr>
            <w:tcW w:type="dxa" w:w="9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@10%</w:t>
            </w:r>
          </w:p>
        </w:tc>
        <w:tc>
          <w:tcPr>
            <w:tcW w:type="dxa" w:w="9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@20%</w:t>
            </w:r>
          </w:p>
        </w:tc>
        <w:tc>
          <w:tcPr>
            <w:tcW w:type="dxa" w:w="9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@40%</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nTTFR</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AUC</w:t>
            </w:r>
          </w:p>
        </w:tc>
        <w:tc>
          <w:tcPr>
            <w:tcW w:type="dxa" w:w="13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overhead (s)</w:t>
            </w:r>
          </w:p>
        </w:tc>
      </w:tr>
      <w:tr>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diversity_only</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0.114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0.886</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0.0000</w:t>
            </w:r>
          </w:p>
        </w:tc>
      </w:tr>
      <w:tr>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cheapest_first</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0.877</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0.0000</w:t>
            </w:r>
          </w:p>
        </w:tc>
      </w:tr>
      <w:tr>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history_only</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0.877</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0.0003</w:t>
            </w:r>
          </w:p>
        </w:tc>
      </w:tr>
      <w:tr>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change_stage</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0.123</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0.877</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0.0000</w:t>
            </w:r>
          </w:p>
        </w:tc>
      </w:tr>
      <w:tr>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random (median, 20 seeds) †</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0.44</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0.72</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0.217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0.783</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0.0000</w:t>
            </w:r>
          </w:p>
        </w:tc>
      </w:tr>
      <w:tr>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proposed (risk_score)</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0.56</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0.67</w:t>
            </w:r>
          </w:p>
        </w:tc>
        <w:tc>
          <w:tcPr>
            <w:tcW w:type="dxa" w:w="9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0.308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0.692</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0.0017</w:t>
            </w:r>
          </w:p>
        </w:tc>
      </w:tr>
    </w:tbl>
    <w:p>
      <w:pPr>
        <w:spacing w:after="80"/>
      </w:pPr>
      <w:r>
        <w:rPr>
          <w:i/>
          <w:iCs/>
          <w:sz w:val="18"/>
          <w:szCs w:val="18"/>
        </w:rPr>
        <w:t xml:space="preserve">† Random over 20 seeds: per-fraction detection medians 0.44 / 0.56 / 0.72 / 0.89 at 5 / 10 / 20 / 40%; mean AUC median 0.783 (seed range 0.613–0.854); mean norm. TTFR median 0.217 (range 0.146–0.387). The shaded band in Figure 4 shows the 20-seed min–max range.</w:t>
      </w:r>
    </w:p>
    <w:p>
      <w:pPr>
        <w:spacing w:after="80"/>
      </w:pPr>
      <w:r>
        <w:rPr>
          <w:b/>
          <w:bCs/>
        </w:rPr>
        <w:t xml:space="preserve">Table 12. Per-event area under the detection-vs-budget curve (1.0 = detected at ≈ zero cost; 0.0 = never detected). Nine mutation events.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20"/>
        <w:gridCol w:w="1140"/>
        <w:gridCol w:w="1140"/>
        <w:gridCol w:w="1100"/>
        <w:gridCol w:w="1100"/>
        <w:gridCol w:w="1140"/>
        <w:gridCol w:w="1120"/>
      </w:tblGrid>
      <w:tr>
        <w:tc>
          <w:tcPr>
            <w:tcW w:type="dxa" w:w="25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Mutation event</w:t>
            </w:r>
          </w:p>
        </w:tc>
        <w:tc>
          <w:tcPr>
            <w:tcW w:type="dxa" w:w="11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cheap.</w:t>
            </w:r>
          </w:p>
        </w:tc>
        <w:tc>
          <w:tcPr>
            <w:tcW w:type="dxa" w:w="11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divers.</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hist.</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ch-stage</w:t>
            </w:r>
          </w:p>
        </w:tc>
        <w:tc>
          <w:tcPr>
            <w:tcW w:type="dxa" w:w="11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proposed</w:t>
            </w:r>
          </w:p>
        </w:tc>
        <w:tc>
          <w:tcPr>
            <w:tcW w:type="dxa" w:w="1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rand(med)</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disable_optimization_loop</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0.97</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0.97</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0.99</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0.88</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drop_vf2_post_layout</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downgrade_routing</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0.94</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insert_redundant_cx_pair</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0.20</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0.99</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drop_optimization_stage</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0.97</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0.97</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0.99</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0.91</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0.98</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0.85</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0.85</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downgrade_layout_trivial</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insert_redundant_x_pair</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0.21</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0.71</w:t>
            </w:r>
          </w:p>
        </w:tc>
      </w:tr>
    </w:tbl>
    <w:p>
      <w:pPr>
        <w:spacing w:before="80"/>
      </w:pPr>
    </w:p>
    <w:p>
      <w:pPr>
        <w:spacing w:after="80"/>
      </w:pPr>
      <w:r>
        <w:rPr>
          <w:b/>
          <w:bCs/>
        </w:rPr>
        <w:t xml:space="preserve">Table 13. Win/tie/loss of the proposed selector vs each baseline, by per-event normalized TTFR (9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Baseline</w:t>
            </w:r>
          </w:p>
        </w:tc>
        <w:tc>
          <w:tcPr>
            <w:tcW w:type="dxa" w:w="2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win</w:t>
            </w:r>
          </w:p>
        </w:tc>
        <w:tc>
          <w:tcPr>
            <w:tcW w:type="dxa" w:w="2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tie</w:t>
            </w:r>
          </w:p>
        </w:tc>
        <w:tc>
          <w:tcPr>
            <w:tcW w:type="dxa" w:w="2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loss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cheapest_first</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diversity_only</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history_only</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change_stage</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random (median)</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3</w:t>
            </w:r>
          </w:p>
        </w:tc>
      </w:tr>
    </w:tbl>
    <w:p>
      <w:pPr>
        <w:spacing w:before="80"/>
      </w:pPr>
    </w:p>
    <w:p>
      <w:pPr>
        <w:spacing w:after="80"/>
      </w:pPr>
      <w:r>
        <w:rPr>
          <w:b/>
          <w:bCs/>
        </w:rPr>
        <w:t xml:space="preserve">Table 14. Per-event normalized TTFR by selector (lower is better); reconciles the win/tie/loss in Table 13. Nine mutation events.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20"/>
        <w:gridCol w:w="1140"/>
        <w:gridCol w:w="1140"/>
        <w:gridCol w:w="1100"/>
        <w:gridCol w:w="1100"/>
        <w:gridCol w:w="1140"/>
        <w:gridCol w:w="1120"/>
      </w:tblGrid>
      <w:tr>
        <w:tc>
          <w:tcPr>
            <w:tcW w:type="dxa" w:w="25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Mutation event</w:t>
            </w:r>
          </w:p>
        </w:tc>
        <w:tc>
          <w:tcPr>
            <w:tcW w:type="dxa" w:w="11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cheap.</w:t>
            </w:r>
          </w:p>
        </w:tc>
        <w:tc>
          <w:tcPr>
            <w:tcW w:type="dxa" w:w="11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divers.</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hist.</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ch-stage</w:t>
            </w:r>
          </w:p>
        </w:tc>
        <w:tc>
          <w:tcPr>
            <w:tcW w:type="dxa" w:w="11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proposed</w:t>
            </w:r>
          </w:p>
        </w:tc>
        <w:tc>
          <w:tcPr>
            <w:tcW w:type="dxa" w:w="1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rand(med)</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disable_optimization_loop</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0.033</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0.017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0.033</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0.033</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0.009</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0.120</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drop_vf2_post_layout</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1.000</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downgrade_routing</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0.063</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insert_redundant_cx_pair</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0.804</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0.008</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drop_optimization_stage</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0.027</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0.027</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0.011</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0.091</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0.016</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0.016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0.016</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0.155</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0.146</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force_opt_level_0</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0.004</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downgrade_layout_trivial</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0.004</w:t>
            </w:r>
          </w:p>
        </w:tc>
      </w:tr>
      <w:tr>
        <w:tc>
          <w:tcPr>
            <w:tcW w:type="dxa" w:w="25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insert_redundant_x_pair</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0.001</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0.002</w:t>
            </w:r>
          </w:p>
        </w:tc>
        <w:tc>
          <w:tcPr>
            <w:tcW w:type="dxa" w:w="11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0.788</w:t>
            </w:r>
          </w:p>
        </w:tc>
        <w:tc>
          <w:tcPr>
            <w:tcW w:type="dxa" w:w="1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0.295</w:t>
            </w:r>
          </w:p>
        </w:tc>
      </w:tr>
    </w:tbl>
    <w:p>
      <w:pPr>
        <w:spacing w:after="80"/>
      </w:pPr>
      <w:r>
        <w:rPr>
          <w:i/>
          <w:iCs/>
          <w:sz w:val="18"/>
          <w:szCs w:val="18"/>
        </w:rPr>
        <w:t xml:space="preserve">The proposed selector is marginally ahead on the six events whose cheapest detector it reaches marginally earlier, but loses heavily on insert_redundant_cx_pair (nTTFR 0.804) and insert_redundant_x_pair (0.788), where its severity (impact_prior) weighting defers a cheap detecting unit, and on force_opt_level_1 (0.155); drop_vf2_post_layout is an undetected tie. The few large losses pull the mean AUC below every baseline.</w:t>
      </w:r>
    </w:p>
    <w:p>
      <w:pPr>
        <w:spacing w:before="80"/>
      </w:pPr>
    </w:p>
    <w:p>
      <w:pPr>
        <w:spacing w:after="80"/>
      </w:pPr>
      <w:r>
        <w:rPr>
          <w:b/>
          <w:bCs/>
        </w:rPr>
        <w:t xml:space="preserve">Table 15. Effect sizes (Cliff’s δ, Vargha–Delaney Â12; proposed vs each baseline on per-event AUC, 9 events) and bootstrap 95% CIs of mean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1100"/>
        <w:gridCol w:w="3060"/>
      </w:tblGrid>
      <w:tr>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Comparison (proposed vs)</w:t>
            </w:r>
          </w:p>
        </w:tc>
        <w:tc>
          <w:tcPr>
            <w:tcW w:type="dxa" w:w="1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Cliff’s δ</w:t>
            </w:r>
          </w:p>
        </w:tc>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magnitude</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Â12</w:t>
            </w:r>
          </w:p>
        </w:tc>
        <w:tc>
          <w:tcPr>
            <w:tcW w:type="dxa" w:w="30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baseline mean AUC [95% CI]</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diversity_only</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small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0.35</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0.886 [0.662, 0.998]</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cheapest_first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negligible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0.475</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0.877 [0.655, 0.993]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history_only</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negligible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0.475</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0.877 [0.655, 0.993]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change_stage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−0.05</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negligible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0.475</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0.877 [0.655, 0.993]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random (median)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+0.07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negligible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0.537</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0.779 [0.750, 0.804]</w:t>
            </w:r>
          </w:p>
        </w:tc>
      </w:tr>
    </w:tbl>
    <w:p>
      <w:pPr>
        <w:spacing w:after="80"/>
      </w:pPr>
      <w:r>
        <w:rPr>
          <w:i/>
          <w:iCs/>
          <w:sz w:val="18"/>
          <w:szCs w:val="18"/>
        </w:rPr>
        <w:t xml:space="preserve">Proposed selector mean AUC = 0.692 [0.400, 0.912]. Effect sizes are negligible against the cost baselines and random, and small-but-negative against diversity-only; the wide, overlapping CIs at nine events support a claim of no advantage rather than a reliable deficit.</w:t>
      </w:r>
    </w:p>
    <w:p>
      <w:pPr>
        <w:spacing w:before="80"/>
      </w:pPr>
    </w:p>
    <w:p>
      <w:pPr>
        <w:pStyle w:val="Heading2"/>
      </w:pPr>
      <w:r>
        <w:t xml:space="preserve">6.4 Ablation and sensitivity of risk_score</w:t>
      </w:r>
    </w:p>
    <w:p>
      <w:pPr>
        <w:spacing w:after="120"/>
        <w:jc w:val="both"/>
      </w:pPr>
      <w:r>
        <w:t xml:space="preserve">To locate the source of the deficit, we ablated each risk_score component over the cached labels, with no re-transpilation (Table 16). Removing the severity term impact_prior raises the mean AUC from 0.692 to 0.716, so this term is actively harmful: a high impact_prior on expensive, high-criticality units defers the cheap units that detect these faults. The novelty term helps only marginally, since the AUC falls to 0.688 without it, while change_stage_match and oracle_confidence are inert on this corpus, because every unit shares the modified stage and the same exact-unitary oracle tier. A sensitivity sweep over the ε floor ({0.01, 0.05, 0.10}) and the exploration reserve ({10, 15, 20}%) leaves the mean AUC unchanged at 0.692, which tells us the result is robust and not a tuning artifact.</w:t>
      </w:r>
    </w:p>
    <w:p>
      <w:pPr>
        <w:spacing w:after="80"/>
      </w:pPr>
      <w:r>
        <w:rPr>
          <w:b/>
          <w:bCs/>
        </w:rPr>
        <w:t xml:space="preserve">Table 16. Ablation of risk_score components (mutation cohort, 9 events; reuses cached labels, no transpilation).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2000"/>
      </w:tblGrid>
      <w:tr>
        <w:tc>
          <w:tcPr>
            <w:tcW w:type="dxa" w:w="3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risk_score variant</w:t>
            </w:r>
          </w:p>
        </w:tc>
        <w:tc>
          <w:tcPr>
            <w:tcW w:type="dxa" w:w="19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mean AUC</w:t>
            </w:r>
          </w:p>
        </w:tc>
        <w:tc>
          <w:tcPr>
            <w:tcW w:type="dxa" w:w="198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mean nTTFR</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recall@20%</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full</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0.692</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0.308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novelty</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0.688</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0.312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change_stage</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0.692</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0.308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oracle_confidence</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0.692</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0.308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0.667</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 impact_prior</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0.716</w:t>
            </w:r>
          </w:p>
        </w:tc>
        <w:tc>
          <w:tcPr>
            <w:tcW w:type="dxa" w:w="19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0.284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0.667</w:t>
            </w:r>
          </w:p>
        </w:tc>
      </w:tr>
    </w:tbl>
    <w:p>
      <w:pPr>
        <w:spacing w:before="80"/>
      </w:pPr>
    </w:p>
    <w:p>
      <w:pPr>
        <w:spacing w:after="140" w:before="140"/>
        <w:jc w:val="center"/>
      </w:pPr>
      <w:r>
        <w:drawing>
          <wp:inline distT="0" distB="0" distL="0" distR="0">
            <wp:extent cx="4476750" cy="2381250"/>
            <wp:effectExtent t="0" r="0" b="0" l="0"/>
            <wp:docPr id="1" name="fig4_detection.png" descr="fig4_detection.png" title="fig4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381250"/>
                    </a:xfrm>
                    <a:prstGeom prst="rect">
                      <a:avLst/>
                    </a:prstGeom>
                  </pic:spPr>
                </pic:pic>
              </a:graphicData>
            </a:graphic>
          </wp:inline>
        </w:drawing>
      </w:r>
    </w:p>
    <w:p>
      <w:pPr>
        <w:spacing w:after="120"/>
        <w:jc w:val="both"/>
      </w:pPr>
      <w:r>
        <w:t xml:space="preserve">Figure 4 plots the detection-vs-budget curves. Diversity-only and the cost, history, and change-stage baselines reach the 8/9 ≈ 0.889 ceiling almost immediately, random (the median) climbs more gradually, and the proposed selector plateaus lower because it defers cheap detectors on three events. The shaded band shows the 20-seed min–max range for random ordering.</w:t>
      </w:r>
    </w:p>
    <w:p>
      <w:pPr>
        <w:pStyle w:val="Heading2"/>
      </w:pPr>
      <w:r>
        <w:t xml:space="preserve">6.5 RQ3: Observability of historical regressions</w:t>
      </w:r>
    </w:p>
    <w:p>
      <w:pPr>
        <w:spacing w:after="120"/>
        <w:jc w:val="both"/>
      </w:pPr>
      <w:r>
        <w:t xml:space="preserve">We attempted five historical events, and we must separate a demonstrated observability gap from cases that are merely unreproduced or under-powered at this scale. Building the fixed and parent (or introducing) revisions from source and running the matched oracle, we establish three real transpiler regressions invisible to a black-box output oracle across two channels: contract/metadata (ElidePermutations #14603, final_layout composition #14919) and global phase (a CommutativeCancellation phase fix #14956, with a companion regression #16215 traced to its introducing commit by automated bisection). The determinism and small-overhead channels remain unreproduced or under-powered at this scale, and are reported as inconclusive rather than as evidence that the oracles under-detect.</w:t>
      </w:r>
    </w:p>
    <w:p>
      <w:pPr>
        <w:pStyle w:val="ListParagraph"/>
        <w:numPr>
          <w:ilvl w:val="0"/>
          <w:numId w:val="3"/>
        </w:numPr>
        <w:spacing w:after="60"/>
      </w:pPr>
      <w:r>
        <w:rPr>
          <w:b/>
          <w:bCs/>
        </w:rPr>
        <w:t xml:space="preserve">H1 (ElidePermutations, #14603): demonstrated observability gap. </w:t>
      </w:r>
      <w:r>
        <w:t xml:space="preserve">Both revisions were built from source. The fault belongs to the transpiler_contract_or_metadata channel: it corrupts the virtual_permutation_layout property while leaving the layout-applied output unitary correct. As a result, the output-only semantic oracle reports equivalence on the buggy build, even when the fix’s own regression circuit is run through the full preset pass manager. The fault is therefore real but output-invisible: a black-box output oracle cannot see it, while the contract oracle detects it. This is one of three source-verified output-invisible regressions (with H2 #14919 and the global-phase fix #14956; §6.7), and Appendix A gives the minimal trigger, the exact SHAs and the corrupted field, the oracle outcome, and the reproduction command.</w:t>
      </w:r>
    </w:p>
    <w:p>
      <w:pPr>
        <w:pStyle w:val="ListParagraph"/>
        <w:numPr>
          <w:ilvl w:val="0"/>
          <w:numId w:val="3"/>
        </w:numPr>
        <w:spacing w:after="60"/>
      </w:pPr>
      <w:r>
        <w:rPr>
          <w:b/>
          <w:bCs/>
        </w:rPr>
        <w:t xml:space="preserve">H3 (VF2Layout non-determinism, #14730): inconclusive (not reproduced). </w:t>
      </w:r>
      <w:r>
        <w:t xml:space="preserve">The determinism-channel fault reproduces only under a noisy device target absent from our coupling-map backend; a strengthened, layout-sensitive determinism oracle observed determinism on our circuit. We cannot conclude anything about oracle sensitivity because the triggering condition was never created. Blocked. This is consistent with a large dynamic study that executed the Qiskit Terra suite 10,000 times across 23 releases and found genuine flakiness rare but often requiring thousands of runs to detect reliably, well beyond a typical CI budget [36].</w:t>
      </w:r>
    </w:p>
    <w:p>
      <w:pPr>
        <w:pStyle w:val="ListParagraph"/>
        <w:numPr>
          <w:ilvl w:val="0"/>
          <w:numId w:val="3"/>
        </w:numPr>
        <w:spacing w:after="60"/>
      </w:pPr>
      <w:r>
        <w:rPr>
          <w:b/>
          <w:bCs/>
        </w:rPr>
        <w:t xml:space="preserve">H4 (VF2PostLayout no-op, #14120): inconclusive (under-powered). </w:t>
      </w:r>
      <w:r>
        <w:t xml:space="preserve">The redundant-pass overhead stays below the 20% Stage-1 screen under single-sample timing; this is a measurement-power limitation, not a demonstrated blind spot. Deferred to a controlled-hardware, multi-run protocol.</w:t>
      </w:r>
    </w:p>
    <w:p>
      <w:pPr>
        <w:pStyle w:val="ListParagraph"/>
        <w:numPr>
          <w:ilvl w:val="0"/>
          <w:numId w:val="3"/>
        </w:numPr>
        <w:spacing w:after="60"/>
      </w:pPr>
      <w:r>
        <w:rPr>
          <w:b/>
          <w:bCs/>
        </w:rPr>
        <w:t xml:space="preserve">H2 (final_layout, #14919): source-verified. </w:t>
      </w:r>
      <w:r>
        <w:t xml:space="preserve">Building both revisions, the metamorphic relation MR-1 holds on the fixed build and is violated on the parent for all three routing passes, while the output oracle stays blind (§6.7). H5 (#16285) is an input-specific crash, not yet reproduced.</w:t>
      </w:r>
    </w:p>
    <w:p>
      <w:pPr>
        <w:spacing w:after="120"/>
        <w:jc w:val="both"/>
      </w:pPr>
      <w:r>
        <w:t xml:space="preserve">The controlled mutation cohort, by contrast, labels reliably (Table 7). We therefore answer RQ3 narrowly. The pilot demonstrates three concrete observability gaps across two channels — contract/metadata (#14603, #14919) and global phase (#14956, with #16215 traced to its introducing commit) — each invisible to black-box output oracles, and it leaves the determinism and small-overhead channels open, since we could not reproduce or adequately power them on commodity hardware. We do not claim that black-box oracles broadly under-detect; we claim, and now demonstrate on real fixes, that at least two important manifestation channels are unobservable to them. Section 6.6 then quantifies how often such channels occur among real transpiler fixes.</w:t>
      </w:r>
    </w:p>
    <w:p>
      <w:pPr>
        <w:pStyle w:val="Heading2"/>
      </w:pPr>
      <w:r>
        <w:t xml:space="preserve">6.6 Observability of real transpiler regressions: a repository-mining study</w:t>
      </w:r>
    </w:p>
    <w:p>
      <w:pPr>
        <w:spacing w:after="120"/>
        <w:jc w:val="both"/>
      </w:pPr>
      <w:r>
        <w:t xml:space="preserve">The H1 result raises a question that the pilot cannot answer on its own: how common are output-invisible regressions in practice? To estimate this, we mined the merged, changelog-listed bug-fix pull requests labelled mod: transpiler in the Qiskit repository and classified each one by the manifestation channel of the fault it fixes (Section 2.2). This follows repository-mining practice for quantum-software bug characterization [37] and the empirical-reporting guidance for quantum-software testing [35]. Three authors independently classified the fixes from their titles, descriptions, and linked issues, using a written, frozen codebook and recording a confidence flag for each. On a triple-coded, adjudicated seed of 24 fixes, agreement was substantial: Cohen's κ = 0.67 on the binary observable-by-output-oracle judgment (83.3% raw agreement) and κ = 0.62 on the seven-class channel (70.8%); disagreements were adjudicated against the frozen codebook, and in particular the ElidePermutations case (PR #14603, our H1) was confirmed output-invisible on the strength of direct built-from-source evidence. We then expanded the corpus to 68 in-scope merged transpiler bug-fixes (the 24-fix adjudicated seed plus 44 further fixes), which two authors coded independently and blind against the frozen codebook, reaching Cohen's κ = 0.86 on the binary observability judgment (95.5% raw agreement); the ten channel disagreements — only two of which touched the binary judgment — were adjudicated against the codebook, and both binary-relevant cases (PRs #14765 and #15074, edge-of-scope plumbing) resolved to the observable side. The codebook, all raters' labels, and the confidence flags are released with the artifact. As Table 17 shows, 19 of the 68 classified fixes (≈ 28%; 95% Wilson CI 19–40%) fall in channels that a black-box output-equivalence oracle cannot observe: corrupted layout or permutation contract metadata (10), non-determinism (4), and dropped global phase (5, which are invisible to equivalence-modulo-global-phase checks). The built-from-source H1 case is one instance of the largest of these classes. The observability gap is therefore not an isolated curiosity. A substantial minority of real transpiler regressions are unobservable to output-only oracles, which motivates treating fault-class-matched oracles, such as property and layout comparison and determinism checks, as first-class CI checks.</w:t>
      </w:r>
    </w:p>
    <w:p>
      <w:pPr>
        <w:spacing w:after="80"/>
      </w:pPr>
      <w:r>
        <w:rPr>
          <w:b/>
          <w:bCs/>
        </w:rPr>
        <w:t xml:space="preserve">Table 17. Manifestation channels of the 68 classified Qiskit transpiler bug-fixes. “Observable” = detectable by a black-box output-equivalence oracle. The 24-fix seed is triple-coded and adjudicated; the 44 further fixes are dual-coded (Cohen's κ = 0.86) and adjudicated against the same frozen codebook.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200"/>
        <w:gridCol w:w="2760"/>
      </w:tblGrid>
      <w:tr>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Manifestation channel</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Count</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Observable?</w:t>
            </w:r>
          </w:p>
        </w:tc>
        <w:tc>
          <w:tcPr>
            <w:tcW w:type="dxa" w:w="2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Example PRs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compilation_failure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#15626, #16285, #14998, #16249, #16151</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output_semantic</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#16428, #16337, #13670, #16163, #15143</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metadata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#14603, #15024, #14939, #14919, #13945</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circuit_quality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#14667, #15967, #16153, #14670</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global phase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#16402, #16215, #16201, #14956, #15943</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 / reproducibility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no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#16237, #15040, #14763, #14730</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performance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yes (if over screen)</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#16476</w:t>
            </w:r>
          </w:p>
        </w:tc>
      </w:tr>
    </w:tbl>
    <w:p>
      <w:pPr>
        <w:spacing w:after="120"/>
      </w:pPr>
      <w:r>
        <w:rPr>
          <w:i/>
          <w:iCs/>
          <w:sz w:val="18"/>
          <w:szCs w:val="18"/>
        </w:rPr>
        <w:t xml:space="preserve">The seed (n = 24) is triple-coded and adjudicated (Cohen's κ = 0.67 binary, 0.62 channel); the 44 further fixes are dual-coded independently and blind (Cohen's κ = 0.86 binary, 95.5% agreement) and adjudicated against the same frozen codebook. All labels and confidence flags are released for re-coding. Classification is title-and-description based, a construct-validity threat we mitigate by releasing the codebook, all raters' labels, and the confidence flags for re-coding; the sample is recent merged fixes, not a complete census, so the percentages are estimates with the reported 95% Wilson CI rather than population parameters.</w:t>
      </w:r>
    </w:p>
    <w:p>
      <w:pPr>
        <w:spacing w:before="80"/>
      </w:pPr>
    </w:p>
    <w:p>
      <w:pPr>
        <w:pStyle w:val="Heading2"/>
      </w:pPr>
      <w:r>
        <w:t xml:space="preserve">6.7 A fault-class-matched oracle family, and source-verified detection</w:t>
      </w:r>
    </w:p>
    <w:p>
      <w:pPr>
        <w:spacing w:after="120"/>
        <w:jc w:val="both"/>
      </w:pPr>
      <w:r>
        <w:t xml:space="preserve">The mining gap motivates oracles matched to each output-invisible channel. We implement three, all layout-aware and width-tiered so that they respect a hard cost boundary: an exact operator only for small circuits (n &lt;= 12 qubits), sampled layout-normalised statevectors for 13-22 qubits, and a structural fallback beyond, never a full 2^n x 2^n unitary at scale. A contract differ asserts the transpiler's layout and permutation contract: the initial and final index layouts must be valid permutations, and they must compose consistently with the routing permutation. A metamorphic oracle encodes contract-level metamorphic relations; the first, MR-1 (permutation consistency), requires that appending the recorded routing_permutation to the routed output recover the input unitary. A global-phase oracle is the exact complement of the output-equivalence oracle: where the latter compares modulo global phase, the former measures the phase itself, so a dropped or double-counted global phase is detected end to end.</w:t>
      </w:r>
    </w:p>
    <w:p>
      <w:pPr>
        <w:spacing w:after="120"/>
        <w:jc w:val="both"/>
      </w:pPr>
      <w:r>
        <w:t xml:space="preserve">We verify three of the mined output-invisible fixes directly from source, building the fixed and parent revisions of each and running the matched oracle. For H1 (ElidePermutations, PR #14603) the contract oracle detects the fault as an asymmetric divergence, the buggy pass raising an error on the trigger where the fixed pass runs clean, while the full-pipeline output oracle passes the buggy build, which is exactly the observability gap. For the final_layout composition fix (PR #14919) the metamorphic relation MR-1 holds on the fixed build and is violated on the parent for all three routing passes (SabreSwap, LookaheadSwap, BasicSwap), even though the routed circuit still implements the intended operation up to a qubit permutation, so an output-equivalence oracle sees nothing wrong. For the CommutativeCancellation global-phase fix (PR #14956) the global-phase oracle measures the π/2 phase that the fixed build introduces when merging an X into an X-rotation and that the parent drops to zero, while the output oracle — comparing modulo global phase — again sees nothing. In all three cases the fault is real, reachable, and invisible to output equivalence, and the matched oracle recovers it with no false positive on the fixed build.</w:t>
      </w:r>
    </w:p>
    <w:p>
      <w:pPr>
        <w:spacing w:after="80"/>
      </w:pPr>
      <w:r>
        <w:rPr>
          <w:b/>
          <w:bCs/>
        </w:rPr>
        <w:t xml:space="preserve">Table 18. Fault-class-matched oracles and the mined output-invisible fixes verified from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2200"/>
        <w:gridCol w:w="1360"/>
      </w:tblGrid>
      <w:tr>
        <w:tc>
          <w:tcPr>
            <w:tcW w:type="dxa" w:w="2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Channel</w:t>
            </w:r>
          </w:p>
        </w:tc>
        <w:tc>
          <w:tcPr>
            <w:tcW w:type="dxa" w:w="3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Oracle</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Source-verified fix</w:t>
            </w:r>
          </w:p>
        </w:tc>
        <w:tc>
          <w:tcPr>
            <w:tcW w:type="dxa" w:w="13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Output oracle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metadata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differ + isolated-pass differential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#14603 ElidePermutations</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metadata</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metamorphic MR-1 (permutation consistency)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#14919 final_layout composition</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global phase</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global-phase tracking (phase complement)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#14956 CommutativeCancellation</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determinism</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fixed-seed metadata idempotence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VF2 layout non-determinism (live)</w:t>
            </w:r>
          </w:p>
        </w:tc>
        <w:tc>
          <w:tcPr>
            <w:tcW w:type="dxa" w:w="1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blind</w:t>
            </w:r>
          </w:p>
        </w:tc>
      </w:tr>
    </w:tbl>
    <w:p>
      <w:pPr>
        <w:spacing w:after="120"/>
        <w:jc w:val="both"/>
      </w:pPr>
      <w:r>
        <w:t xml:space="preserve">The differ asserts metadata-internal invariants — that the recorded index layouts are valid permutations and compose consistently with the routing permutation — and delegates full output equivalence to the semantic oracle; an earlier operator-level reconciliation check was removed after it raised false positives under the default VF2 post-layout while the layout-applied output was in fact correct. Swept across 243 circuit configurations (random and structured circuits, widths 4-8, line, ring and heavy-hex-like couplings, optimization levels 1-3), it reports no violation with the layout method fixed. Under the default layout path its metadata-idempotence check surfaces a genuine determinism-channel artifact: fixed-seed transpilation returns different recorded layout metadata across identical calls, present on both Qiskit 2.4.2 and 2.5.0 and reproducible even single-threaded, which we trace to the time-budgeted VF2 layout search and report as a determinism-channel demonstration, not a new defect. The oracle surfaces this automatically; we report it as a demonstration of the oracle class rather than a new-defect claim, pending upstream triage.</w:t>
      </w:r>
    </w:p>
    <w:p>
      <w:pPr>
        <w:spacing w:before="80"/>
      </w:pPr>
    </w:p>
    <w:p>
      <w:pPr>
        <w:pStyle w:val="Heading2"/>
      </w:pPr>
      <w:r>
        <w:t xml:space="preserve">6.8 Cross-SDK replication: is the gap Qiskit-specific?</w:t>
      </w:r>
    </w:p>
    <w:p>
      <w:pPr>
        <w:spacing w:after="120"/>
        <w:jc w:val="both"/>
      </w:pPr>
      <w:r>
        <w:t xml:space="preserve">To test whether the observability gap is specific to Qiskit, we replicated the mining protocol on two other quantum compilers with the SAME frozen codebook; the harvester is released as scripts/mine_sdk.py (a build-free clone-and-classify over each project's compilation-pass directories). Table 19 summarizes. On tket, a compiler architecturally close to Qiskit that exposes explicit placement, routing and permutation contracts, the output-invisible rate is 25% (5 of 20 in-scope bug-fixes; 95% Wilson CI 11-47%), statistically indistinguishable from Qiskit's 28% and dominated by the SAME permutation/contract-metadata channel. The tket cases are direct analogues of ours: GreedyPauliSimp ignoring the circuit's implicit qubit permutation (#2072) and missing wire-swap handling in phase-polynomial synthesis (#146) mirror our ElidePermutations (H1) and final_layout (14919) faults.</w:t>
      </w:r>
    </w:p>
    <w:p>
      <w:pPr>
        <w:spacing w:after="120"/>
        <w:jc w:val="both"/>
      </w:pPr>
      <w:r>
        <w:t xml:space="preserve">On Cirq, whose leaner moment-based model exposes far fewer layout/permutation-metadata contracts, the rate is lower and the estimate noisier (1 of 10 in-scope; the transformer commit history is dominated by non-behavioural housekeeping). We read this not as a failure to replicate but as a refinement of the claim: the output-invisible gap is a cross-compiler phenomenon whose MAGNITUDE scales with how much layout/permutation/metadata contract a compiler exposes. A compiler that records rich routing/placement metadata (Qiskit, tket) has more surfaces on which a fault can be output-invisible; a leaner representation (Cirq) has fewer. The channel itself is real and cross-compiler; its prevalence is architecture-dependent. As developer-facing validation of practical relevance, we distil these contract invariants into a concrete CI-level assertion proposal for upstream maintainers (Qiskit and tket).</w:t>
      </w:r>
    </w:p>
    <w:p>
      <w:pPr>
        <w:spacing w:after="80"/>
      </w:pPr>
      <w:r>
        <w:rPr>
          <w:b/>
          <w:bCs/>
        </w:rPr>
        <w:t xml:space="preserve">Table 19. Cross-SDK replication of the output-invisible rate. Cross-SDK figures are provisional (single-rater / LLM-assisted coding, small n for tket and Cirq); an independent human coding round is in progress, mirroring the Qiskit corpus.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100"/>
        <w:gridCol w:w="1700"/>
        <w:gridCol w:w="2560"/>
      </w:tblGrid>
      <w:tr>
        <w:tc>
          <w:tcPr>
            <w:tcW w:type="dxa" w:w="1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Compiler</w:t>
            </w:r>
          </w:p>
        </w:tc>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Invisible / in-scope</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Rate</w:t>
            </w:r>
          </w:p>
        </w:tc>
        <w:tc>
          <w:tcPr>
            <w:tcW w:type="dxa" w:w="1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95% Wilson CI</w:t>
            </w:r>
          </w:p>
        </w:tc>
        <w:tc>
          <w:tcPr>
            <w:tcW w:type="dxa" w:w="2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Pr>
              <w:t xml:space="preserve">Dominant invisible channel</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Qiskit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 / 68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19-40%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permutation metadata</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tket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5 / 20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11-47%</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contract / permutation metadata</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Cirq</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 / 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10%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2-40%</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Pr>
              <w:t xml:space="preserve">few metadata contracts exposed</w:t>
            </w:r>
          </w:p>
        </w:tc>
      </w:tr>
    </w:tbl>
    <w:p>
      <w:pPr>
        <w:spacing w:before="80"/>
      </w:pPr>
    </w:p>
    <w:p>
      <w:pPr>
        <w:pStyle w:val="Heading1"/>
      </w:pPr>
      <w:r>
        <w:t xml:space="preserve">7. Discussion</w:t>
      </w:r>
    </w:p>
    <w:p>
      <w:pPr>
        <w:spacing w:after="120"/>
        <w:jc w:val="both"/>
      </w:pPr>
      <w:r>
        <w:t xml:space="preserve">The central lesson of the pilot is methodological rather than a horse-race outcome. Its most concrete empirical finding is an observability gap. A real transpiler regression, H1, lives in the transpiler_contract_or_metadata channel: its layout metadata is incorrect, yet the output unitary it produces is intact, and so a black-box output oracle cannot see it. We are careful not to over-generalize from a handful of events. The determinism and small-overhead channels (H3 and H4) remain open in our data because we could not reproduce or adequately power them, not because we watched the oracles fail. The honest reading is therefore a caution rather than a sweeping claim: equivalence checking of compiled outputs is provably insufficient for at least two important classes of compiler regression (contract/metadata and global phase), and the contract/metadata, determinism, and performance channels each plausibly need an oracle of their own. The repository-mining study of §6.6 shows that these output-invisible channels account for roughly 28% of recent real transpiler bug-fixes (19 of 68; 95% Wilson CI 19–40%), which makes the gap quantitatively material rather than anecdotal. The methodology already encodes the design consequences: a controlled mutation cohort serves as a reliable labelling backbone; test provenance is accounted for strictly, since a post-fix test can show that a fault is real (a Secondary claim) but cannot prove that a selector would have caught it in real CI; and fault-class-matched oracles are planned for the scale-up.</w:t>
      </w:r>
    </w:p>
    <w:p>
      <w:pPr>
        <w:spacing w:after="120"/>
        <w:jc w:val="both"/>
      </w:pPr>
      <w:r>
        <w:t xml:space="preserve">The selection result is a null result, and we treat it as informative rather than disappointing. At this scale the transparent risk_score selector did not beat the simple cost, diversity, history, and change-stage baselines, nor random ordering, and it trailed them because its severity weighting can defer a cheap detecting test (§6.3). An ablation isolates the cause: once the severity term (impact_prior) is removed, the AUC returns to baseline level (Table 16), so the design is not wrong in principle but is mis-calibrated for a regime in which detection cost and fault severity are decoupled. More broadly, no method manages to separate, because the detecting units are cheap and plentiful, detection saturates within a small fraction of the suite budget, and there is almost no budget regime in which ordering can matter. Whether the extra structure in risk_score helps is therefore still an open question, one that only a larger, cost-heterogeneous corpus with verified forward regressions can settle, and the claim-scope rule correctly forbids any comparative-effectiveness claim from these nine events. The most natural next prototype simply drops the impact_prior term, which on its own recovers baseline-level AUC (Table 16); we offer this as a lesson rather than a result, since it is a post-hoc adjustment evaluated on the very same nine events.</w:t>
      </w:r>
    </w:p>
    <w:p>
      <w:pPr>
        <w:pStyle w:val="Heading1"/>
      </w:pPr>
      <w:r>
        <w:t xml:space="preserve">8. Threats to Validity</w:t>
      </w:r>
    </w:p>
    <w:p>
      <w:pPr>
        <w:spacing w:after="120"/>
        <w:jc w:val="both"/>
      </w:pPr>
      <w:r>
        <w:rPr>
          <w:b/>
          <w:bCs/>
        </w:rPr>
        <w:t xml:space="preserve">Construct. </w:t>
      </w:r>
      <w:r>
        <w:t xml:space="preserve">The largest threat is oracle observability (§7). A black-box oracle can miss contract/metadata-channel faults, as we demonstrate for H1, and it may also miss determinism- and performance-channel faults, which we did not test here, so a “pass” does not certify that a circuit is fault-free. We mitigate this by separating the cohorts, by using an empirical, confirmation-based false-positive rate, and by recording which oracle tier produced each label and which manifestation channel each historical fault occupies. The provenance rule also prevents post-fix tests from inflating the Primary claim.</w:t>
      </w:r>
    </w:p>
    <w:p>
      <w:pPr>
        <w:spacing w:after="120"/>
        <w:jc w:val="both"/>
      </w:pPr>
      <w:r>
        <w:rPr>
          <w:b/>
          <w:bCs/>
        </w:rPr>
        <w:t xml:space="preserve">Internal. </w:t>
      </w:r>
      <w:r>
        <w:t xml:space="preserve">Timing on a single laptop is noisy, so we calibrate cost with CPU process time, treat performance as exploratory, and exclude high-load runs. Write-once raw artifacts, fixed seeds, and labels regenerated from the raw evidence all support reproducibility. Test non-determinism is a known confound in regression testing [38]. We therefore treat determinism and reproducibility as their own manifestation channel rather than folding them into correctness, and, consistent with the evidence that flaky tests are most detectable when newly added [39], we confine post-fix targeted triggers to the Secondary evaluation.</w:t>
      </w:r>
    </w:p>
    <w:p>
      <w:pPr>
        <w:spacing w:after="120"/>
        <w:jc w:val="both"/>
      </w:pPr>
      <w:r>
        <w:rPr>
          <w:b/>
          <w:bCs/>
        </w:rPr>
        <w:t xml:space="preserve">External. </w:t>
      </w:r>
      <w:r>
        <w:t xml:space="preserve">The corpus is small and specific to the Qiskit 2.x transpiler, so the results are pilot-scoped and must not be generalized without the planned scale-up. The verified events are all quality mutations, which may not represent the full fault distribution. There is also a scope boundary between the two evaluation tracks: the primary mutation pilot exercises the exact-unitary and quality-oracle tiers, while the contract/metadata differ, MR-1, and global-phase oracles are implemented and exercised in the secondary historical validation (§6.7). A noisy-target determinism oracle, a broader sampled-statevector campaign, and a controlled-hardware performance protocol remain deferred to the scale-up.</w:t>
      </w:r>
    </w:p>
    <w:p>
      <w:pPr>
        <w:spacing w:after="120"/>
        <w:jc w:val="both"/>
      </w:pPr>
      <w:r>
        <w:rPr>
          <w:b/>
          <w:bCs/>
        </w:rPr>
        <w:t xml:space="preserve">Conclusion. </w:t>
      </w:r>
      <w:r>
        <w:t xml:space="preserve">With so few events, statistical comparison is under-powered. We therefore avoid significance claims, report per-event outcomes alongside the averages, and bind comparative claims with the rule that requires at least three forward-regression events. The leakage-absence gate guards against optimistic bias. The null selection result is itself a per-event finding, not a powered comparison.</w:t>
      </w:r>
    </w:p>
    <w:p>
      <w:pPr>
        <w:pStyle w:val="Heading1"/>
      </w:pPr>
      <w:r>
        <w:t xml:space="preserve">9. Limitations and Future Work</w:t>
      </w:r>
    </w:p>
    <w:p>
      <w:pPr>
        <w:spacing w:after="120"/>
        <w:jc w:val="both"/>
      </w:pPr>
      <w:r>
        <w:t xml:space="preserve">To summarize, the study is a feasibility pilot: the historical regressions are invisible to the black-box output oracle by construction (three are verified through matched oracles instead), the selection cohort is mutation-only, and the selector comparison yields a null result. At this scale the proposed selector showed no advantage over the simple baselines or random ordering, and because the detecting units are cheap and plentiful, detection saturates at a tiny budget fraction, which leaves almost no regime in which cost-aware ordering can separate the methods (despite the high overall cost variance reported in Table 6). The deferred scale-up will do four things. First, it will integrate the three verified forward-regression events (§6.7; contract/metadata and global-phase channels) into the cost-aware selection evaluation and deliberately include further events whose detecting tests are expensive or sparse, so that cost-aware ordering finally has a regime in which to separate methods; the present corpus fails to discriminate because cheap detectors dominate, not because the costs are uniform. Second, it will extend the fault-class-matched oracle family already built and source-validated here (the layout/permutation contract differ, MR-1, and the global-phase tracker; §6.7) with a noisy-target determinism oracle and three-run-median performance on controlled hardware, in a clearly labelled retrospective track. Third, it will introduce an optional comparison against logistic-regression and gradient-boosted-tree selectors under identical anti-leakage rules. Fourth, it will extend the introducing-commit tracing already applied to #16215 and #11399→#14919 to the remaining fix-boundary events, converting them into the forward cohort. Comparative-effectiveness claims about temporal generalization become admissible once these verified forward-regression events are carried through the full selection evaluation, which the scale-up will complete.</w:t>
      </w:r>
    </w:p>
    <w:p>
      <w:pPr>
        <w:pStyle w:val="Heading1"/>
      </w:pPr>
      <w:r>
        <w:t xml:space="preserve">10. Conclusion</w:t>
      </w:r>
    </w:p>
    <w:p>
      <w:pPr>
        <w:spacing w:after="120"/>
        <w:jc w:val="both"/>
      </w:pPr>
      <w:r>
        <w:t xml:space="preserve">In this paper we asked whether regression-test selection and prioritization, long established for classical software, can be realized for the quantum transpiler in a leakage-safe and cost-aware manner, and what such an approach achieves at feasibility scale. We designed a methodology that separates change events into non-pooled cohorts, applies tiered layout-aware oracles with an empirical false-positive rate, scores tests with a transparent selector that distinguishes fault severity from detection confidence, and is guarded by six implementation-validity gates and a strict claim-scope rule. We then realized the methodology in an open prototype and evaluated it on a Qiskit 2.x micro corpus.</w:t>
      </w:r>
    </w:p>
    <w:p>
      <w:pPr>
        <w:spacing w:after="120"/>
        <w:jc w:val="both"/>
      </w:pPr>
      <w:r>
        <w:t xml:space="preserve">We report our empirical findings without embellishment. Across nine controlled mutations, the transparent selector did not outperform the simple cost, diversity, history, and change-stage baselines, nor random ordering. A per-unit cost analysis explains why: the test units that detect the injected faults are cheap and plentiful, so detection saturates within a small fraction of the budget no matter how the tests are ordered, and an ablation pinpoints the selector's severity term as the component responsible, which rules out a mere tuning issue. Separately, building real transpiler fixes from source produced three clear positive findings across two channels: an ElidePermutations regression (#14603) and a final_layout composition regression (#14919) whose corrupted layout metadata is invisible to output-equivalence oracles, and a CommutativeCancellation regression (#14956) whose dropped global phase is invisible to equivalence-modulo-global-phase checks. The determinism and small-overhead channels could not be reproduced or adequately powered on commodity hardware, and we report them as inconclusive rather than as evidence of oracle weakness.</w:t>
      </w:r>
    </w:p>
    <w:p>
      <w:pPr>
        <w:spacing w:after="120"/>
        <w:jc w:val="both"/>
      </w:pPr>
      <w:r>
        <w:t xml:space="preserve">Taken together, the study contributes a rigorous and reproducible evaluation methodology, an honest feasibility baseline against which future selectors can be compared, and a concrete demonstration that equivalence checking of compiled outputs is insufficient to observe important classes of transpiler-contract and global-phase faults. None of these outcomes amounts to a comparative-effectiveness claim. What they do provide is a credible foundation, together with a pre-specified path toward a larger empirical evaluation that uses verified forward regressions, cost-heterogeneous corpora, and fault-class-matched oracles.</w:t>
      </w:r>
    </w:p>
    <w:p>
      <w:pPr>
        <w:pStyle w:val="Heading1"/>
      </w:pPr>
      <w:r>
        <w:t xml:space="preserve">11. Artifact Availability</w:t>
      </w:r>
    </w:p>
    <w:p>
      <w:pPr>
        <w:spacing w:after="120"/>
        <w:jc w:val="both"/>
      </w:pPr>
      <w:r>
        <w:t xml:space="preserve">To support review and reproduction, the artifact is archived at https://doi.org/10.5281/zenodo.21020113 and the public repository is https://github.com/furqan-nr/QIP-Submission, containing: the prototype (cart) and CLI; the automated test suite and six validity gates; the static manifest and mutation engine; the event ledger with exact candidate/baseline commit SHAs; the frozen change–stage map, pre-declared thresholds, RNG seeds, and the frozen risk_score configuration (Table 3); a pinned environment lock (requirements.lock); the write-once raw oracle artifacts and derived labels; the generated evaluation.json; the repository-mining dataset (data/observability_mining.csv); and an OSI-approved open-source license.</w:t>
      </w:r>
    </w:p>
    <w:p>
      <w:pPr>
        <w:spacing w:after="120"/>
        <w:jc w:val="both"/>
      </w:pPr>
      <w:r>
        <w:t xml:space="preserve">The frozen-configuration pilot of Section 6 is reproduced exactly by two commands:</w:t>
      </w:r>
    </w:p>
    <w:p>
      <w:pPr>
        <w:spacing w:after="40"/>
        <w:jc w:val="left"/>
      </w:pPr>
      <w:r>
        <w:rPr>
          <w:rFonts w:ascii="Consolas" w:cs="Consolas" w:eastAsia="Consolas" w:hAnsi="Consolas"/>
        </w:rPr>
        <w:t xml:space="preserve">python -m cart.cli ground-truth --unit-limit 64</w:t>
      </w:r>
    </w:p>
    <w:p>
      <w:pPr>
        <w:spacing w:after="120"/>
        <w:jc w:val="left"/>
      </w:pPr>
      <w:r>
        <w:rPr>
          <w:rFonts w:ascii="Consolas" w:cs="Consolas" w:eastAsia="Consolas" w:hAnsi="Consolas"/>
        </w:rPr>
        <w:t xml:space="preserve">python -m cart.cli evaluate --split all --random-seeds 20</w:t>
      </w:r>
    </w:p>
    <w:p>
      <w:pPr>
        <w:spacing w:after="120"/>
        <w:jc w:val="both"/>
      </w:pPr>
      <w:r>
        <w:t xml:space="preserve">These write Tables 11–14, the per-fraction random aggregates, the cost-distribution summary, and the detection-vs-budget data of Figure 4 to a single evaluation.json. Building the historical events (e.g., H1) additionally requires a Rust toolchain to compile the per-event Qiskit revisions from source; the per-event recipe and reproduction command are given in Appendix A.</w:t>
      </w:r>
    </w:p>
    <w:p>
      <w:pPr>
        <w:pStyle w:val="Heading1"/>
      </w:pPr>
      <w:r>
        <w:t xml:space="preserve">Statements and Declarations</w:t>
      </w:r>
    </w:p>
    <w:p>
      <w:pPr>
        <w:spacing w:after="120"/>
        <w:jc w:val="both"/>
      </w:pPr>
      <w:r>
        <w:rPr>
          <w:b/>
          <w:bCs/>
        </w:rPr>
        <w:t xml:space="preserve">Funding. </w:t>
      </w:r>
      <w:r>
        <w:t xml:space="preserve">The authors received no specific grant from any funding agency, commercial, or not-for-profit sector for this work.</w:t>
      </w:r>
    </w:p>
    <w:p>
      <w:pPr>
        <w:spacing w:after="120"/>
        <w:jc w:val="both"/>
      </w:pPr>
      <w:r>
        <w:rPr>
          <w:b/>
          <w:bCs/>
        </w:rPr>
        <w:t xml:space="preserve">Competing Interests. </w:t>
      </w:r>
      <w:r>
        <w:t xml:space="preserve">The authors declare no competing financial or non-financial interests.</w:t>
      </w:r>
    </w:p>
    <w:p>
      <w:pPr>
        <w:spacing w:after="120"/>
        <w:jc w:val="both"/>
      </w:pPr>
      <w:r>
        <w:rPr>
          <w:b/>
          <w:bCs/>
        </w:rPr>
        <w:t xml:space="preserve">Data Availability. </w:t>
      </w:r>
      <w:r>
        <w:t xml:space="preserve">All data supporting the results, namely the change-event ledger, the write-once raw oracle artifacts, the derived labels, and the generated evaluation reports, are available in the public repository (https://github.com/furqan-nr/QIP-Submission) and archived at https://doi.org/10.5281/zenodo.21020113; see Section 11.</w:t>
      </w:r>
    </w:p>
    <w:p>
      <w:pPr>
        <w:spacing w:after="120"/>
        <w:jc w:val="both"/>
      </w:pPr>
      <w:r>
        <w:rPr>
          <w:b/>
          <w:bCs/>
        </w:rPr>
        <w:t xml:space="preserve">Code Availability. </w:t>
      </w:r>
      <w:r>
        <w:t xml:space="preserve">The cart prototype, its command-line interface, and the build scripts are available in the public repository (https://github.com/furqan-nr/QIP-Submission, archived at https://doi.org/10.5281/zenodo.21020113) under the MIT open-source license; see Section 11.</w:t>
      </w:r>
    </w:p>
    <w:p>
      <w:pPr>
        <w:spacing w:after="120"/>
        <w:jc w:val="both"/>
      </w:pPr>
      <w:r>
        <w:rPr>
          <w:b/>
          <w:bCs/>
        </w:rPr>
        <w:t xml:space="preserve">Author Contributions. </w:t>
      </w:r>
      <w:r>
        <w:t xml:space="preserve">F. Nasir conceived the study, implemented the prototype, conducted the evaluation, and wrote the manuscript. A. Shah supervised the work and contributed to the study design and the critical revision of the manuscript. I. Alam contributed to the methodology and the analysis and reviewed the manuscript. All authors read and approved the final manuscript.</w:t>
      </w:r>
    </w:p>
    <w:p>
      <w:pPr>
        <w:spacing w:after="120"/>
        <w:jc w:val="both"/>
      </w:pPr>
      <w:r>
        <w:rPr>
          <w:b/>
          <w:bCs/>
        </w:rPr>
        <w:t xml:space="preserve">Ethics Approval and Consent. </w:t>
      </w:r>
      <w:r>
        <w:t xml:space="preserve">Not applicable; the study involves no human or animal subjects.</w:t>
      </w:r>
    </w:p>
    <w:p>
      <w:pPr>
        <w:spacing w:after="120"/>
        <w:jc w:val="both"/>
      </w:pPr>
      <w:r>
        <w:rPr>
          <w:b/>
          <w:bCs/>
        </w:rPr>
        <w:t xml:space="preserve">Use of AI Tools. </w:t>
      </w:r>
      <w:r>
        <w:t xml:space="preserve">AI-based assistants were used to support manuscript drafting and software implementation under the authors' supervision; the authors verified all results and take full responsibility for the content.</w:t>
      </w:r>
    </w:p>
    <w:p>
      <w:pPr>
        <w:pStyle w:val="Heading1"/>
      </w:pPr>
      <w:r>
        <w:t xml:space="preserve">Appendix A. Direct evidence for H1 (ElidePermutations, PR #14603)</w:t>
      </w:r>
    </w:p>
    <w:p>
      <w:pPr>
        <w:spacing w:after="120"/>
        <w:jc w:val="both"/>
      </w:pPr>
      <w:r>
        <w:t xml:space="preserve">H1 is the pilot’s one demonstrated observability gap, so we record its evidence explicitly.</w:t>
      </w:r>
    </w:p>
    <w:p>
      <w:pPr>
        <w:pStyle w:val="ListParagraph"/>
        <w:numPr>
          <w:ilvl w:val="0"/>
          <w:numId w:val="3"/>
        </w:numPr>
        <w:spacing w:after="60"/>
      </w:pPr>
      <w:r>
        <w:rPr>
          <w:b/>
          <w:bCs/>
        </w:rPr>
        <w:t xml:space="preserve">Revisions (built from source). </w:t>
      </w:r>
      <w:r>
        <w:t xml:space="preserve">Candidate (buggy) 7c3890da097c851876b86453a1da6ee7d3208048 → baseline (fixed) 96fda18888de4492f37ccdb93faf15dc014c99eb; fix-boundary differential, PR #14603, fix-commit dated 2025-06-16.</w:t>
      </w:r>
    </w:p>
    <w:p>
      <w:pPr>
        <w:pStyle w:val="ListParagraph"/>
        <w:numPr>
          <w:ilvl w:val="0"/>
          <w:numId w:val="3"/>
        </w:numPr>
        <w:spacing w:after="60"/>
      </w:pPr>
      <w:r>
        <w:rPr>
          <w:b/>
          <w:bCs/>
        </w:rPr>
        <w:t xml:space="preserve">Minimal trigger. </w:t>
      </w:r>
      <w:r>
        <w:t xml:space="preserve">A circuit containing a PermutationGate together with two-qubit gates (the unit trig-h1-elide-permutations, drawn from the fix’s own regression test), transpiled through the full preset pass manager at optimization level 3 on backends none and line.</w:t>
      </w:r>
    </w:p>
    <w:p>
      <w:pPr>
        <w:pStyle w:val="ListParagraph"/>
        <w:numPr>
          <w:ilvl w:val="0"/>
          <w:numId w:val="3"/>
        </w:numPr>
        <w:spacing w:after="60"/>
      </w:pPr>
      <w:r>
        <w:rPr>
          <w:b/>
          <w:bCs/>
        </w:rPr>
        <w:t xml:space="preserve">Corrupted field. </w:t>
      </w:r>
      <w:r>
        <w:t xml:space="preserve">The buggy ElidePermutations pass corrupts the virtual_permutation_layout property recorded in the TranspileLayout / output metadata; the layout-applied output unitary is left correct.</w:t>
      </w:r>
    </w:p>
    <w:p>
      <w:pPr>
        <w:pStyle w:val="ListParagraph"/>
        <w:numPr>
          <w:ilvl w:val="0"/>
          <w:numId w:val="3"/>
        </w:numPr>
        <w:spacing w:after="60"/>
      </w:pPr>
      <w:r>
        <w:rPr>
          <w:b/>
          <w:bCs/>
        </w:rPr>
        <w:t xml:space="preserve">Oracle outcome. </w:t>
      </w:r>
      <w:r>
        <w:t xml:space="preserve">The layout-normalized exact-unitary oracle reports EQUIVALENT (pass) on the buggy candidate, identical to the baseline result, on both backends. The output-only oracle therefore cannot distinguish buggy from fixed; the fault is only visible by comparing the recorded permutation property directly (the contract/metadata check of §6.7). The output-only oracle is thus blind to this fault; it is real and output-invisible — a source-verified instance of the observability gap.</w:t>
      </w:r>
    </w:p>
    <w:p>
      <w:pPr>
        <w:pStyle w:val="ListParagraph"/>
        <w:numPr>
          <w:ilvl w:val="0"/>
          <w:numId w:val="3"/>
        </w:numPr>
        <w:spacing w:after="60"/>
      </w:pPr>
      <w:r>
        <w:rPr>
          <w:b/>
          <w:bCs/>
        </w:rPr>
        <w:t xml:space="preserve">Reproduction. </w:t>
      </w:r>
      <w:r>
        <w:t xml:space="preserve">Build both revisions with the per-event from-source runner, then run:</w:t>
      </w:r>
    </w:p>
    <w:p>
      <w:pPr>
        <w:spacing w:after="120"/>
        <w:jc w:val="left"/>
      </w:pPr>
      <w:r>
        <w:rPr>
          <w:rFonts w:ascii="Consolas" w:cs="Consolas" w:eastAsia="Consolas" w:hAnsi="Consolas"/>
        </w:rPr>
        <w:t xml:space="preserve">python -m cart.cli historical-run --event hist-elide-permutations-mapping --use-targeted</w:t>
      </w:r>
    </w:p>
    <w:p>
      <w:pPr>
        <w:spacing w:after="120"/>
        <w:jc w:val="both"/>
      </w:pPr>
      <w:r>
        <w:t xml:space="preserve">The recorded per-run property values (baseline vs candidate virtual_permutation_layout) are written to the event’s write-once raw artifact and are included in the deposited archive (Section 11).</w:t>
      </w:r>
    </w:p>
    <w:p>
      <w:pPr>
        <w:pStyle w:val="Heading1"/>
      </w:pPr>
      <w:r>
        <w:t xml:space="preserve">References</w:t>
      </w:r>
    </w:p>
    <w:p>
      <w:pPr>
        <w:spacing w:after="60"/>
        <w:ind w:left="480" w:hanging="480"/>
      </w:pPr>
      <w:r>
        <w:rPr>
          <w:sz w:val="19"/>
          <w:szCs w:val="19"/>
        </w:rPr>
        <w:t xml:space="preserve">[1] Paltenghi M, Pradel M (2022) Bugs in quantum computing platforms: an empirical study. Proc ACM Program Lang (OOPSLA). arXiv:2110.14560</w:t>
      </w:r>
    </w:p>
    <w:p>
      <w:pPr>
        <w:spacing w:after="60"/>
        <w:ind w:left="480" w:hanging="480"/>
      </w:pPr>
      <w:r>
        <w:rPr>
          <w:sz w:val="19"/>
        </w:rPr>
        <w:t>[2] Nation PD et al (2024) Benchmarking the performance of quantum computing software for quantum circuit creation, manipulation and compilation. Nat Comput Sci. doi:10.1038/s43588-025-00792-y</w:t>
      </w:r>
    </w:p>
    <w:p>
      <w:pPr>
        <w:spacing w:after="60"/>
        <w:ind w:left="480" w:hanging="480"/>
      </w:pPr>
      <w:r>
        <w:rPr>
          <w:sz w:val="19"/>
        </w:rPr>
        <w:t>[3] Yoo S, Harman M (2012) Regression testing minimization, selection and prioritisation: a survey. Softw Test Verif Reliab 22(2):67–120. doi:10.1002/stvr.430</w:t>
      </w:r>
    </w:p>
    <w:p>
      <w:pPr>
        <w:spacing w:after="60"/>
        <w:ind w:left="480" w:hanging="480"/>
      </w:pPr>
      <w:r>
        <w:rPr>
          <w:sz w:val="19"/>
          <w:szCs w:val="19"/>
        </w:rPr>
        <w:t xml:space="preserve">[4] Machalica M, Samylkin A, Porth M, Chandra S (2019) Predictive test selection. In: Proc ICSE-SEIP. arXiv:1810.05286</w:t>
      </w:r>
    </w:p>
    <w:p>
      <w:pPr>
        <w:spacing w:after="60"/>
        <w:ind w:left="480" w:hanging="480"/>
      </w:pPr>
      <w:r>
        <w:rPr>
          <w:sz w:val="19"/>
          <w:szCs w:val="19"/>
        </w:rPr>
        <w:t xml:space="preserve">[5] Paltenghi M, Pradel M (2023) MorphQ: metamorphic testing of the Qiskit quantum computing platform. In: Proc ICSE. doi:10.1109/ICSE48619.2023.00202</w:t>
      </w:r>
    </w:p>
    <w:p>
      <w:pPr>
        <w:spacing w:after="60"/>
        <w:ind w:left="480" w:hanging="480"/>
      </w:pPr>
      <w:r>
        <w:rPr>
          <w:sz w:val="19"/>
          <w:szCs w:val="19"/>
        </w:rPr>
        <w:t xml:space="preserve">[6] Kitt L et al (2024) MorphQ++: a reproducibility study of metamorphic testing on quantum compilers. In: Proc IEEE/ACM ASE Workshops. doi:10.1145/3695750.3695823</w:t>
      </w:r>
    </w:p>
    <w:p>
      <w:pPr>
        <w:spacing w:after="60"/>
        <w:ind w:left="480" w:hanging="480"/>
      </w:pPr>
      <w:r>
        <w:rPr>
          <w:sz w:val="19"/>
          <w:szCs w:val="19"/>
        </w:rPr>
        <w:t xml:space="preserve">[7] Pontolillo G et al (2025) QuCheck: a property-based testing framework for quantum programs in Qiskit. arXiv:2503.22641</w:t>
      </w:r>
    </w:p>
    <w:p>
      <w:pPr>
        <w:spacing w:after="60"/>
        <w:ind w:left="480" w:hanging="480"/>
      </w:pPr>
      <w:r>
        <w:rPr>
          <w:sz w:val="19"/>
          <w:szCs w:val="19"/>
        </w:rPr>
        <w:t xml:space="preserve">[8] Luo J et al (2026) QEMI: a quantum software stacks testing framework via equivalence modulo inputs. arXiv preprint</w:t>
      </w:r>
    </w:p>
    <w:p>
      <w:pPr>
        <w:spacing w:after="60"/>
        <w:ind w:left="480" w:hanging="480"/>
      </w:pPr>
      <w:r>
        <w:rPr>
          <w:sz w:val="19"/>
          <w:szCs w:val="19"/>
        </w:rPr>
        <w:t xml:space="preserve">[9] Javadi-Abhari A, Treinish M, Krsulich K et al (2024) Quantum computing with Qiskit. arXiv:2405.08810</w:t>
      </w:r>
    </w:p>
    <w:p>
      <w:pPr>
        <w:spacing w:after="60"/>
        <w:ind w:left="480" w:hanging="480"/>
      </w:pPr>
      <w:r>
        <w:rPr>
          <w:sz w:val="19"/>
          <w:szCs w:val="19"/>
        </w:rPr>
        <w:t xml:space="preserve">[10] Paltenghi M, Pradel M (2024a) A survey on testing and analysis of quantum software. arXiv:2410.00650</w:t>
      </w:r>
    </w:p>
    <w:p>
      <w:pPr>
        <w:spacing w:after="60"/>
        <w:ind w:left="480" w:hanging="480"/>
      </w:pPr>
      <w:r>
        <w:rPr>
          <w:sz w:val="19"/>
        </w:rPr>
        <w:t>[11] Barr ET, Harman M, McMinn P, Shahbaz M, Yoo S (2015) The oracle problem in software testing: a survey. IEEE Trans Softw Eng 41(5):507–525. doi:10.1109/TSE.2014.2372785</w:t>
      </w:r>
    </w:p>
    <w:p>
      <w:pPr>
        <w:spacing w:after="60"/>
        <w:ind w:left="480" w:hanging="480"/>
      </w:pPr>
      <w:r>
        <w:rPr>
          <w:sz w:val="19"/>
        </w:rPr>
        <w:t>[12] Burgholzer L, Wille R (2021) Advanced equivalence checking for quantum circuits. IEEE Trans Comput-Aided Des Integr Circuits Syst 40(9):1810–1824. doi:10.1109/TCAD.2020.3032630</w:t>
      </w:r>
    </w:p>
    <w:p>
      <w:pPr>
        <w:spacing w:after="60"/>
        <w:ind w:left="480" w:hanging="480"/>
      </w:pPr>
      <w:r>
        <w:rPr>
          <w:sz w:val="19"/>
        </w:rPr>
        <w:t>[13] Elbaum S, Malishevsky AG, Rothermel G (2002) Test case prioritization: a family of empirical studies. IEEE Trans Softw Eng 28(2):159–182. doi:10.1109/32.988497</w:t>
      </w:r>
    </w:p>
    <w:p>
      <w:pPr>
        <w:spacing w:after="60"/>
        <w:ind w:left="480" w:hanging="480"/>
      </w:pPr>
      <w:r>
        <w:rPr>
          <w:sz w:val="19"/>
        </w:rPr>
        <w:t>[14] Elbaum S, Malishevsky A, Rothermel G (2001) Incorporating varying test costs and fault severities into test case prioritization. In: Proc ICSE. doi:10.1109/ICSE.2001.919106</w:t>
      </w:r>
    </w:p>
    <w:p>
      <w:pPr>
        <w:spacing w:after="60"/>
        <w:ind w:left="480" w:hanging="480"/>
      </w:pPr>
      <w:r>
        <w:rPr>
          <w:sz w:val="19"/>
        </w:rPr>
        <w:t>[15] Rothermel G, Untch RH, Chu C, Harrold MJ (2001) Prioritizing test cases for regression testing. IEEE Trans Softw Eng 27(10):929–948. doi:10.1109/32.962562</w:t>
      </w:r>
    </w:p>
    <w:p>
      <w:pPr>
        <w:spacing w:after="60"/>
        <w:ind w:left="480" w:hanging="480"/>
      </w:pPr>
      <w:r>
        <w:rPr>
          <w:sz w:val="19"/>
        </w:rPr>
        <w:t>[16] Elbaum S, Rothermel G, Penix J (2014) Techniques for improving regression testing in continuous integration development environments. In: Proc ACM SIGSOFT FSE, pp 235–245. doi:10.1145/2635868.2635910</w:t>
      </w:r>
    </w:p>
    <w:p>
      <w:pPr>
        <w:spacing w:after="60"/>
        <w:ind w:left="480" w:hanging="480"/>
      </w:pPr>
      <w:r>
        <w:rPr>
          <w:sz w:val="19"/>
        </w:rPr>
        <w:t>[17] Elsner D, Hauer F, Pretschner A, Reimer S (2021) Empirically evaluating readily available information for regression test optimization in continuous integration. In: Proc ACM SIGSOFT ISSTA, pp 491–504. doi:10.1145/3460319.3464834</w:t>
      </w:r>
    </w:p>
    <w:p>
      <w:pPr>
        <w:spacing w:after="60"/>
        <w:ind w:left="480" w:hanging="480"/>
      </w:pPr>
      <w:r>
        <w:rPr>
          <w:sz w:val="19"/>
        </w:rPr>
        <w:t>[18] Peng Q, Shi A, Zhang L (2020) Empirically revisiting and enhancing IR-based test-case prioritization. In: Proc ACM SIGSOFT ISSTA, pp 324–336. doi:10.1145/3395363.3397383</w:t>
      </w:r>
    </w:p>
    <w:p>
      <w:pPr>
        <w:spacing w:after="60"/>
        <w:ind w:left="480" w:hanging="480"/>
      </w:pPr>
      <w:r>
        <w:rPr>
          <w:sz w:val="19"/>
        </w:rPr>
        <w:t>[19] Spieker H, Gotlieb A, Marijan D, Mossige M (2017) Reinforcement learning for automatic test case prioritization and selection in continuous integration. In: Proc ACM SIGSOFT ISSTA, pp 12–22. doi:10.1145/3092703.3092709</w:t>
      </w:r>
    </w:p>
    <w:p>
      <w:pPr>
        <w:spacing w:after="60"/>
        <w:ind w:left="480" w:hanging="480"/>
      </w:pPr>
      <w:r>
        <w:rPr>
          <w:sz w:val="19"/>
        </w:rPr>
        <w:t>[20] Prado Lima JA, Vergilio SR (2022) A multi-armed bandit approach for test case prioritization in continuous integration environments. IEEE Trans Softw Eng 48(2):453–465. doi:10.1109/TSE.2020.2992428</w:t>
      </w:r>
    </w:p>
    <w:p>
      <w:pPr>
        <w:spacing w:after="60"/>
        <w:ind w:left="480" w:hanging="480"/>
      </w:pPr>
      <w:r>
        <w:rPr>
          <w:sz w:val="19"/>
        </w:rPr>
        <w:t>[21] Pan R, Bagherzadeh M, Ghaleb TA, Briand L (2022) Test case selection and prioritization using machine learning: a systematic literature review. Empir Softw Eng 27(2):29. doi:10.1007/s10664-021-10066-6</w:t>
      </w:r>
    </w:p>
    <w:p>
      <w:pPr>
        <w:spacing w:after="60"/>
        <w:ind w:left="480" w:hanging="480"/>
      </w:pPr>
      <w:r>
        <w:rPr>
          <w:sz w:val="19"/>
        </w:rPr>
        <w:t>[22] Aparicio-Morales A, Moguel E, Garcia-Alonso J, Murillo JM (2024) An overview of quantum software engineering in Latin America. Quantum Inf Process 23. doi:10.1007/s11128-024-04586-5</w:t>
      </w:r>
    </w:p>
    <w:p>
      <w:pPr>
        <w:spacing w:after="60"/>
        <w:ind w:left="480" w:hanging="480"/>
      </w:pPr>
      <w:r>
        <w:rPr>
          <w:sz w:val="19"/>
        </w:rPr>
        <w:t>[23] Huang Y et al (2024) Qubit mapping: the adaptive divide-and-conquer approach. Quantum Inf Process 23. doi:10.1007/s11128-025-04815-5</w:t>
      </w:r>
    </w:p>
    <w:p>
      <w:pPr>
        <w:spacing w:after="60"/>
        <w:ind w:left="480" w:hanging="480"/>
      </w:pPr>
      <w:r>
        <w:rPr>
          <w:sz w:val="19"/>
        </w:rPr>
        <w:t>[24] Wang J, Zhang Q, Xu GH, Kim M (2021) QDiff: differential testing of quantum software stacks. In: Proc IEEE/ACM ASE, pp 692–704. doi:10.1109/ASE51524.2021.9678792</w:t>
      </w:r>
    </w:p>
    <w:p>
      <w:pPr>
        <w:spacing w:after="60"/>
        <w:ind w:left="480" w:hanging="480"/>
      </w:pPr>
      <w:r>
        <w:rPr>
          <w:sz w:val="19"/>
          <w:szCs w:val="19"/>
        </w:rPr>
        <w:t xml:space="preserve">[25] Ye J et al (2026) QSPE: enumerating skeletal quantum programs for quantum library testing. arXiv preprint</w:t>
      </w:r>
    </w:p>
    <w:p>
      <w:pPr>
        <w:spacing w:after="60"/>
        <w:ind w:left="480" w:hanging="480"/>
      </w:pPr>
      <w:r>
        <w:rPr>
          <w:sz w:val="19"/>
        </w:rPr>
        <w:t>[26] Choudhury N et al (2025) Concolic testing for quantum compilers. In: Proc IEEE ICCD. doi:10.1109/ICCD65941.2025.00057</w:t>
      </w:r>
    </w:p>
    <w:p>
      <w:pPr>
        <w:spacing w:after="60"/>
        <w:ind w:left="480" w:hanging="480"/>
      </w:pPr>
      <w:r>
        <w:rPr>
          <w:sz w:val="19"/>
        </w:rPr>
        <w:t>[27] Tao R, Shi Y, Yao J, Li X, Javadi-Abhari A, Cross AW, Chong FT, Gu R (2022) Giallar: push-button verification for the Qiskit quantum compiler. In: Proc ACM SIGPLAN PLDI, pp 641–656. doi:10.1145/3519939.3523431</w:t>
      </w:r>
    </w:p>
    <w:p>
      <w:pPr>
        <w:spacing w:after="60"/>
        <w:ind w:left="480" w:hanging="480"/>
      </w:pPr>
      <w:r>
        <w:rPr>
          <w:sz w:val="19"/>
        </w:rPr>
        <w:t>[28] Paltenghi M, Pradel M (2024b) Analyzing quantum programs with LintQ: a static analysis framework for Qiskit. Proc ACM Softw Eng 1(FSE):1135–1157. doi:10.1145/3660802</w:t>
      </w:r>
    </w:p>
    <w:p>
      <w:pPr>
        <w:spacing w:after="60"/>
        <w:ind w:left="480" w:hanging="480"/>
      </w:pPr>
      <w:r>
        <w:rPr>
          <w:sz w:val="19"/>
        </w:rPr>
        <w:t>[29] Zhao P, Zhao J, Miao Z, Lan S (2023) Bugs4Q: a benchmark of existing bugs to enable controlled testing and debugging studies for quantum programs. J Syst Softw 205:111805. doi:10.1016/j.jss.2023.111805</w:t>
      </w:r>
    </w:p>
    <w:p>
      <w:pPr>
        <w:spacing w:after="60"/>
        <w:ind w:left="480" w:hanging="480"/>
      </w:pPr>
      <w:r>
        <w:rPr>
          <w:sz w:val="19"/>
        </w:rPr>
        <w:t>[30] Mendiluze E, Ali S, Yue T, Arcaini P (2021) Muskit: a mutation analysis tool for quantum software testing. In: Proc IEEE/ACM ASE. doi:10.1109/ASE51524.2021.9678563</w:t>
      </w:r>
    </w:p>
    <w:p>
      <w:pPr>
        <w:spacing w:after="60"/>
        <w:ind w:left="480" w:hanging="480"/>
      </w:pPr>
      <w:r>
        <w:rPr>
          <w:sz w:val="19"/>
        </w:rPr>
        <w:t>[31] Fortunato D, Campos J, Abreu R (2022) Mutation testing of quantum programs: a case study with Qiskit. IEEE Trans Quantum Eng 3:1–17. doi:10.1109/TQE.2022.3195061</w:t>
      </w:r>
    </w:p>
    <w:p>
      <w:pPr>
        <w:spacing w:after="60"/>
        <w:ind w:left="480" w:hanging="480"/>
      </w:pPr>
      <w:r>
        <w:rPr>
          <w:sz w:val="19"/>
        </w:rPr>
        <w:t>[32] Ramalho NCL et al (2024) Testing and debugging quantum programs: the road to 2030. ACM Trans Softw Eng Methodol. doi:10.1145/3715106</w:t>
      </w:r>
    </w:p>
    <w:p>
      <w:pPr>
        <w:spacing w:after="60"/>
        <w:ind w:left="480" w:hanging="480"/>
      </w:pPr>
      <w:r>
        <w:rPr>
          <w:sz w:val="19"/>
        </w:rPr>
        <w:t>[33] Wojciechowski K et al (2026) Open QBench: a benchmarking framework for evaluating quantum computing platforms. Quantum Inf Process. doi:10.1007/s11128-026-05115-2</w:t>
      </w:r>
    </w:p>
    <w:p>
      <w:pPr>
        <w:spacing w:after="60"/>
        <w:ind w:left="480" w:hanging="480"/>
      </w:pPr>
      <w:r>
        <w:rPr>
          <w:sz w:val="19"/>
        </w:rPr>
        <w:t>[34] Mendiluze Usandizaga E, Yue T, Arcaini P, Ali S (2023) Quantum circuit mutants: empirical analysis and recommendations. Empir Softw Eng 28:6. doi:10.1007/s10664-025-10643-z</w:t>
      </w:r>
    </w:p>
    <w:p>
      <w:pPr>
        <w:spacing w:after="60"/>
        <w:ind w:left="480" w:hanging="480"/>
      </w:pPr>
      <w:r>
        <w:rPr>
          <w:sz w:val="19"/>
          <w:szCs w:val="19"/>
        </w:rPr>
        <w:t xml:space="preserve">[35] Li Y et al (2026) A methodological analysis of empirical studies in quantum software testing. arXiv preprint</w:t>
      </w:r>
    </w:p>
    <w:p>
      <w:pPr>
        <w:spacing w:after="60"/>
        <w:ind w:left="480" w:hanging="480"/>
      </w:pPr>
      <w:r>
        <w:rPr>
          <w:sz w:val="19"/>
          <w:szCs w:val="19"/>
        </w:rPr>
        <w:t xml:space="preserve">[36] Kim D et al (2025) Detecting flakiness in quantum software: a dynamic testing approach. arXiv preprint</w:t>
      </w:r>
    </w:p>
    <w:p>
      <w:pPr>
        <w:spacing w:after="60"/>
        <w:ind w:left="480" w:hanging="480"/>
      </w:pPr>
      <w:r>
        <w:rPr>
          <w:sz w:val="19"/>
          <w:szCs w:val="19"/>
        </w:rPr>
        <w:t xml:space="preserve">[37] Yousuf MM et al. (2025) Characterizing bugs and quality attributes in quantum software: a large-scale empirical study. arXiv preprint.</w:t>
      </w:r>
    </w:p>
    <w:p>
      <w:pPr>
        <w:spacing w:after="60"/>
        <w:ind w:left="480" w:hanging="480"/>
      </w:pPr>
      <w:r>
        <w:rPr>
          <w:sz w:val="19"/>
        </w:rPr>
        <w:t>[38] Luo Q, Hariri F, Eloussi L, Marinov D (2014) An empirical analysis of flaky tests. In: Proc ACM SIGSOFT FSE, pp 643–653. doi:10.1145/2635868.2635920</w:t>
      </w:r>
    </w:p>
    <w:p>
      <w:pPr>
        <w:spacing w:after="60"/>
        <w:ind w:left="480" w:hanging="480"/>
      </w:pPr>
      <w:r>
        <w:rPr>
          <w:sz w:val="19"/>
        </w:rPr>
        <w:t>[39] Lam W, Winter S, Wei A, Xie T, Marinov D, Bell J (2020) A large-scale longitudinal study of flaky tests. Proc ACM Program Lang 4(OOPSLA):1–29. doi:10.1145/3428270</w:t>
      </w:r>
    </w:p>
    <w:p>
      <w:pPr/>
      <w:r>
        <w:rPr>
          <w:sz w:val="19"/>
        </w:rPr>
        <w:t>[40] Ye J, Wu X, Xia S, Zhang F, Zhao J (2025) Is measurement enough? Rethinking output validation in quantum program testing. In: Proc IEEE/ACM Int Conf Automated Software Engineering (ASE), NIER track. arXiv:2509.16595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jc w:val="center"/>
    </w:pPr>
    <w:rPr>
      <w:rFonts w:ascii="Arial" w:cs="Arial" w:eastAsia="Arial" w:hAnsi="Arial"/>
      <w:b/>
      <w:bCs/>
      <w:sz w:val="34"/>
      <w:szCs w:val="34"/>
    </w:rPr>
  </w:style>
  <w:style w:type="paragraph" w:styleId="Heading1">
    <w:name w:val="Heading 1"/>
    <w:basedOn w:val="Normal"/>
    <w:next w:val="Normal"/>
    <w:qFormat/>
    <w:pPr>
      <w:spacing w:after="120" w:before="240"/>
      <w:outlineLvl w:val="0"/>
    </w:pPr>
    <w:rPr>
      <w:rFonts w:ascii="Arial" w:cs="Arial" w:eastAsia="Arial" w:hAnsi="Arial"/>
      <w:b/>
      <w:bCs/>
      <w:sz w:val="27"/>
      <w:szCs w:val="27"/>
    </w:rPr>
  </w:style>
  <w:style w:type="paragraph" w:styleId="Heading2">
    <w:name w:val="Heading 2"/>
    <w:basedOn w:val="Normal"/>
    <w:next w:val="Normal"/>
    <w:qFormat/>
    <w:pPr>
      <w:spacing w:after="90" w:before="160"/>
      <w:outlineLvl w:val="1"/>
    </w:pPr>
    <w:rPr>
      <w:rFonts w:ascii="Arial" w:cs="Arial" w:eastAsia="Arial" w:hAnsi="Arial"/>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8e9ab04e27129be9bccd963efebca50852da2e.png"/><Relationship Id="rId9" Type="http://schemas.openxmlformats.org/officeDocument/2006/relationships/image" Target="media/e0f5eca0e7874ae27e7677a5cda4b673641fe629.png"/><Relationship Id="rId10" Type="http://schemas.openxmlformats.org/officeDocument/2006/relationships/image" Target="media/ce18e6579c72752e02e49aa982d0853c4db5a702.png"/><Relationship Id="rId11" Type="http://schemas.openxmlformats.org/officeDocument/2006/relationships/image" Target="media/b1b6889e2c8622f9f41565e1b093496f225191ab.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cart</dc:creator>
  <cp:lastModifiedBy>Un-named</cp:lastModifiedBy>
  <cp:revision>1</cp:revision>
  <dcterms:created xsi:type="dcterms:W3CDTF">2026-07-05T08:56:51.283Z</dcterms:created>
  <dcterms:modified xsi:type="dcterms:W3CDTF">2026-07-05T08:56:51.286Z</dcterms:modified>
</cp:coreProperties>
</file>

<file path=docProps/custom.xml><?xml version="1.0" encoding="utf-8"?>
<Properties xmlns="http://schemas.openxmlformats.org/officeDocument/2006/custom-properties" xmlns:vt="http://schemas.openxmlformats.org/officeDocument/2006/docPropsVTypes"/>
</file>