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D69" w:rsidRDefault="00F51827">
      <w:pPr>
        <w:pStyle w:val="Title"/>
      </w:pPr>
      <w:r>
        <w:t>Response to Reviewers</w:t>
      </w:r>
    </w:p>
    <w:p w:rsidR="000F1D69" w:rsidRDefault="00F51827">
      <w:r>
        <w:rPr>
          <w:b/>
        </w:rPr>
        <w:t xml:space="preserve">Manuscript: </w:t>
      </w:r>
      <w:r>
        <w:t>“Oracle Observability of Quantum Transpiler Regressions: What Output-Equivalence Oracles Miss in Qiskit, and a Leakage-Safe, Cost-Aware Regression-Testing Pilot”</w:t>
      </w:r>
    </w:p>
    <w:p w:rsidR="000F1D69" w:rsidRDefault="00F51827">
      <w:r>
        <w:rPr>
          <w:b/>
        </w:rPr>
        <w:t xml:space="preserve">Journal: </w:t>
      </w:r>
      <w:r>
        <w:t xml:space="preserve">Quantum Information Processing — Quantum Software Engineering topical collection.   </w:t>
      </w:r>
      <w:r>
        <w:rPr>
          <w:b/>
        </w:rPr>
        <w:t xml:space="preserve">Decision: </w:t>
      </w:r>
      <w:r>
        <w:t>Major Revision.</w:t>
      </w:r>
    </w:p>
    <w:p w:rsidR="000F1D69" w:rsidRDefault="00F51827">
      <w:r>
        <w:t>We thank the handling editor and the three reviewers for an unusually careful and constructive assessment. We agree with the central diagnosis — t</w:t>
      </w:r>
      <w:r>
        <w:t xml:space="preserve">hat the paper’s value proposition was inverted — and have repositioned the manuscript around the oracle-observability finding, powered the mining study, and implemented the property/layout oracle. We respond point by point below; section references are to </w:t>
      </w:r>
      <w:r>
        <w:t>the revised manuscript. Status is marked Done, Done and strengthened (we went beyond the request), or Future work. A final group lists changes we made that were not requested.</w:t>
      </w:r>
    </w:p>
    <w:p w:rsidR="000F1D69" w:rsidRDefault="00F51827">
      <w:pPr>
        <w:pStyle w:val="Heading2"/>
      </w:pPr>
      <w:r>
        <w:t>Summary of the principal changes</w:t>
      </w:r>
    </w:p>
    <w:p w:rsidR="000F1D69" w:rsidRDefault="00F51827">
      <w:pPr>
        <w:pStyle w:val="ListBullet"/>
      </w:pPr>
      <w:r>
        <w:t>Repositioned around observability: new title, a</w:t>
      </w:r>
      <w:r>
        <w:t>bstract rewritten to lead with the finding and its interval, contribution list reordered, and the cost-aware selection study demoted to an explicit, documented null.</w:t>
      </w:r>
    </w:p>
    <w:p w:rsidR="000F1D69" w:rsidRDefault="00F51827">
      <w:pPr>
        <w:pStyle w:val="ListBullet"/>
      </w:pPr>
      <w:r>
        <w:t>Powered the mining study: 26 → 70 fixes; output-invisible proportion 34% with Wilson 95% C</w:t>
      </w:r>
      <w:r>
        <w:t>I [24%, 46%]; Cohen’s κ = 0.84 [0.70, 0.98]; a third independent human rater added, with Fleiss’ κ = 0.79.</w:t>
      </w:r>
    </w:p>
    <w:p w:rsidR="000F1D69" w:rsidRDefault="00F51827">
      <w:pPr>
        <w:pStyle w:val="ListBullet"/>
      </w:pPr>
      <w:r>
        <w:t>Implemented the property/layout oracle into the pipeline; it now detects H1 (contract_metadata_fail) via cart historical-run — moving it from “deferr</w:t>
      </w:r>
      <w:r>
        <w:t>ed” to “implemented.”</w:t>
      </w:r>
    </w:p>
    <w:p w:rsidR="000F1D69" w:rsidRDefault="00F51827">
      <w:pPr>
        <w:pStyle w:val="ListBullet"/>
      </w:pPr>
      <w:r>
        <w:t>Verified one real forward-regression event (H4) with a new multi-run performance oracle — from zero to one verified forward regression.</w:t>
      </w:r>
    </w:p>
    <w:p w:rsidR="000F1D69" w:rsidRDefault="00F51827">
      <w:pPr>
        <w:pStyle w:val="ListBullet"/>
      </w:pPr>
      <w:r>
        <w:t>Fixed all reported defects: Table 6 cell, figure numbering, empirical FP-rate reporting, and confi</w:t>
      </w:r>
      <w:r>
        <w:t>dence intervals throughout.</w:t>
      </w:r>
    </w:p>
    <w:p w:rsidR="000F1D69" w:rsidRDefault="00F51827">
      <w:pPr>
        <w:pStyle w:val="Heading2"/>
      </w:pPr>
      <w:r>
        <w:t>Point-by-point response</w:t>
      </w:r>
    </w:p>
    <w:tbl>
      <w:tblPr>
        <w:tblStyle w:val="TableGrid"/>
        <w:tblW w:w="13248" w:type="dxa"/>
        <w:tblLayout w:type="fixed"/>
        <w:tblLook w:val="04A0" w:firstRow="1" w:lastRow="0" w:firstColumn="1" w:lastColumn="0" w:noHBand="0" w:noVBand="1"/>
      </w:tblPr>
      <w:tblGrid>
        <w:gridCol w:w="4503"/>
        <w:gridCol w:w="1417"/>
        <w:gridCol w:w="4496"/>
        <w:gridCol w:w="2832"/>
      </w:tblGrid>
      <w:tr w:rsidR="000F1D69" w:rsidTr="00F51827">
        <w:trPr>
          <w:gridAfter w:val="1"/>
          <w:wAfter w:w="2832" w:type="dxa"/>
        </w:trPr>
        <w:tc>
          <w:tcPr>
            <w:tcW w:w="4503" w:type="dxa"/>
            <w:shd w:val="clear" w:color="auto" w:fill="2E5496"/>
          </w:tcPr>
          <w:p w:rsidR="000F1D69" w:rsidRDefault="00F51827">
            <w:r>
              <w:rPr>
                <w:b/>
                <w:color w:val="FFFFFF"/>
                <w:sz w:val="20"/>
              </w:rPr>
              <w:t>Reviewer recommendation</w:t>
            </w:r>
          </w:p>
        </w:tc>
        <w:tc>
          <w:tcPr>
            <w:tcW w:w="1417" w:type="dxa"/>
            <w:shd w:val="clear" w:color="auto" w:fill="2E5496"/>
          </w:tcPr>
          <w:p w:rsidR="000F1D69" w:rsidRDefault="00F51827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4496" w:type="dxa"/>
            <w:shd w:val="clear" w:color="auto" w:fill="2E5496"/>
          </w:tcPr>
          <w:p w:rsidR="000F1D69" w:rsidRDefault="00F51827">
            <w:r>
              <w:rPr>
                <w:b/>
                <w:color w:val="FFFFFF"/>
                <w:sz w:val="20"/>
              </w:rPr>
              <w:t>How we addressed it (location)</w:t>
            </w:r>
          </w:p>
        </w:tc>
      </w:tr>
      <w:tr w:rsidR="000F1D69" w:rsidTr="00F51827">
        <w:tc>
          <w:tcPr>
            <w:tcW w:w="13248" w:type="dxa"/>
            <w:gridSpan w:val="4"/>
            <w:shd w:val="clear" w:color="auto" w:fill="DCE6F1"/>
          </w:tcPr>
          <w:p w:rsidR="000F1D69" w:rsidRDefault="00F51827">
            <w:r>
              <w:rPr>
                <w:b/>
                <w:color w:val="1F3864"/>
                <w:sz w:val="20"/>
              </w:rPr>
              <w:t>Critical items (required before resubmission)</w:t>
            </w:r>
            <w:bookmarkStart w:id="0" w:name="_GoBack"/>
            <w:bookmarkEnd w:id="0"/>
          </w:p>
        </w:tc>
      </w:tr>
      <w:tr w:rsidR="000F1D69" w:rsidTr="00F51827">
        <w:trPr>
          <w:gridAfter w:val="1"/>
          <w:wAfter w:w="2832" w:type="dxa"/>
        </w:trPr>
        <w:tc>
          <w:tcPr>
            <w:tcW w:w="4503" w:type="dxa"/>
          </w:tcPr>
          <w:p w:rsidR="000F1D69" w:rsidRDefault="00F51827">
            <w:r>
              <w:rPr>
                <w:sz w:val="18"/>
              </w:rPr>
              <w:t xml:space="preserve">C1. Reposition the paper around observability (title, abstract, contribution list); make §6.6 </w:t>
            </w:r>
            <w:r>
              <w:rPr>
                <w:sz w:val="18"/>
              </w:rPr>
              <w:t>+ H1 the primary contribution and demote the selection study to a labelled null.</w:t>
            </w:r>
          </w:p>
        </w:tc>
        <w:tc>
          <w:tcPr>
            <w:tcW w:w="1417" w:type="dxa"/>
            <w:shd w:val="clear" w:color="auto" w:fill="D9EAD3"/>
          </w:tcPr>
          <w:p w:rsidR="000F1D69" w:rsidRDefault="00F51827">
            <w:pPr>
              <w:jc w:val="center"/>
            </w:pPr>
            <w:r>
              <w:rPr>
                <w:b/>
                <w:sz w:val="18"/>
              </w:rPr>
              <w:t>Done</w:t>
            </w:r>
          </w:p>
        </w:tc>
        <w:tc>
          <w:tcPr>
            <w:tcW w:w="4496" w:type="dxa"/>
          </w:tcPr>
          <w:p w:rsidR="000F1D69" w:rsidRDefault="00F51827">
            <w:r>
              <w:rPr>
                <w:sz w:val="18"/>
              </w:rPr>
              <w:t>New title “Oracle Observability of Quantum Transpiler Regressions…”; abstract rewritten to open with the gap + Wilson CI; contributions reordered with the measurement fir</w:t>
            </w:r>
            <w:r>
              <w:rPr>
                <w:sz w:val="18"/>
              </w:rPr>
              <w:t>st; selection presented throughout as a documented null.</w:t>
            </w:r>
          </w:p>
        </w:tc>
      </w:tr>
      <w:tr w:rsidR="000F1D69" w:rsidTr="00F51827">
        <w:trPr>
          <w:gridAfter w:val="1"/>
          <w:wAfter w:w="2832" w:type="dxa"/>
        </w:trPr>
        <w:tc>
          <w:tcPr>
            <w:tcW w:w="4503" w:type="dxa"/>
          </w:tcPr>
          <w:p w:rsidR="000F1D69" w:rsidRDefault="00F51827">
            <w:r>
              <w:rPr>
                <w:sz w:val="18"/>
              </w:rPr>
              <w:t>C2. Power the observability study: ≥60–100 fixes; Wilson CI on the proportion; CI on κ; a third rater or audited adjudication; disclose H1’s dual role; build-validate a subset of “invisible” labels.</w:t>
            </w:r>
          </w:p>
        </w:tc>
        <w:tc>
          <w:tcPr>
            <w:tcW w:w="1417" w:type="dxa"/>
            <w:shd w:val="clear" w:color="auto" w:fill="D5E8F0"/>
          </w:tcPr>
          <w:p w:rsidR="000F1D69" w:rsidRDefault="00F51827">
            <w:pPr>
              <w:jc w:val="center"/>
            </w:pPr>
            <w:r>
              <w:rPr>
                <w:b/>
                <w:sz w:val="18"/>
              </w:rPr>
              <w:t>Done &amp; strengthened</w:t>
            </w:r>
          </w:p>
        </w:tc>
        <w:tc>
          <w:tcPr>
            <w:tcW w:w="4496" w:type="dxa"/>
          </w:tcPr>
          <w:p w:rsidR="000F1D69" w:rsidRDefault="00F51827">
            <w:r>
              <w:rPr>
                <w:sz w:val="18"/>
              </w:rPr>
              <w:t>Sample 26 → 70; proportion 34% [24%, 46%] (Wilson); Cohen’s κ = 0.84 [0.70, 0.98] (binary &amp; channel). We did BOTH a third independent human rater and audited adjudication; Fleiss’ κ = 0.79. H1’s dual role disclosed with a leave-one-out</w:t>
            </w:r>
            <w:r>
              <w:rPr>
                <w:sz w:val="18"/>
              </w:rPr>
              <w:t xml:space="preserve"> check (23/69 = 33%). H1 build-validated from source. (§6.6, Table 17)</w:t>
            </w:r>
          </w:p>
        </w:tc>
      </w:tr>
      <w:tr w:rsidR="000F1D69" w:rsidTr="00F51827">
        <w:trPr>
          <w:gridAfter w:val="1"/>
          <w:wAfter w:w="2832" w:type="dxa"/>
        </w:trPr>
        <w:tc>
          <w:tcPr>
            <w:tcW w:w="4503" w:type="dxa"/>
          </w:tcPr>
          <w:p w:rsidR="000F1D69" w:rsidRDefault="00F51827">
            <w:r>
              <w:rPr>
                <w:sz w:val="18"/>
              </w:rPr>
              <w:t>C3. Resolve the RQ2 dilemma — scale selection into a cost-pressure regime, or drop it to a documented null.</w:t>
            </w:r>
          </w:p>
        </w:tc>
        <w:tc>
          <w:tcPr>
            <w:tcW w:w="1417" w:type="dxa"/>
            <w:shd w:val="clear" w:color="auto" w:fill="D9EAD3"/>
          </w:tcPr>
          <w:p w:rsidR="000F1D69" w:rsidRDefault="00F51827">
            <w:pPr>
              <w:jc w:val="center"/>
            </w:pPr>
            <w:r>
              <w:rPr>
                <w:b/>
                <w:sz w:val="18"/>
              </w:rPr>
              <w:t>Done</w:t>
            </w:r>
          </w:p>
        </w:tc>
        <w:tc>
          <w:tcPr>
            <w:tcW w:w="4496" w:type="dxa"/>
          </w:tcPr>
          <w:p w:rsidR="000F1D69" w:rsidRDefault="00F51827">
            <w:r>
              <w:rPr>
                <w:sz w:val="18"/>
              </w:rPr>
              <w:t xml:space="preserve">Selection is reported as an explicit, documented null baseline </w:t>
            </w:r>
            <w:r>
              <w:rPr>
                <w:sz w:val="18"/>
              </w:rPr>
              <w:t>(abstract, contributions, §6.3); no longer framed as a research question with a verdict. The cost-pressure scale-up is signposted as future work.</w:t>
            </w:r>
          </w:p>
        </w:tc>
      </w:tr>
      <w:tr w:rsidR="000F1D69" w:rsidTr="00F51827">
        <w:trPr>
          <w:gridAfter w:val="1"/>
          <w:wAfter w:w="2832" w:type="dxa"/>
        </w:trPr>
        <w:tc>
          <w:tcPr>
            <w:tcW w:w="4503" w:type="dxa"/>
          </w:tcPr>
          <w:p w:rsidR="000F1D69" w:rsidRDefault="00F51827">
            <w:r>
              <w:rPr>
                <w:sz w:val="18"/>
              </w:rPr>
              <w:t>C4. Align oracle claims with implementation — implement the property/layout oracle into the pipeline, or drop</w:t>
            </w:r>
            <w:r>
              <w:rPr>
                <w:sz w:val="18"/>
              </w:rPr>
              <w:t xml:space="preserve"> “tiered layout-aware oracles” from the headline.</w:t>
            </w:r>
          </w:p>
        </w:tc>
        <w:tc>
          <w:tcPr>
            <w:tcW w:w="1417" w:type="dxa"/>
            <w:shd w:val="clear" w:color="auto" w:fill="D5E8F0"/>
          </w:tcPr>
          <w:p w:rsidR="000F1D69" w:rsidRDefault="00F51827">
            <w:pPr>
              <w:jc w:val="center"/>
            </w:pPr>
            <w:r>
              <w:rPr>
                <w:b/>
                <w:sz w:val="18"/>
              </w:rPr>
              <w:t>Done &amp; strengthened</w:t>
            </w:r>
          </w:p>
        </w:tc>
        <w:tc>
          <w:tcPr>
            <w:tcW w:w="4496" w:type="dxa"/>
          </w:tcPr>
          <w:p w:rsidR="000F1D69" w:rsidRDefault="00F51827">
            <w:r>
              <w:rPr>
                <w:sz w:val="18"/>
              </w:rPr>
              <w:t>We took the stronger option: the property/layout oracle is implemented and wired into the pipeline (run_targeted_event) and detects H1 (contract_metadata_fail) via cart historical-run, v</w:t>
            </w:r>
            <w:r>
              <w:rPr>
                <w:sz w:val="18"/>
              </w:rPr>
              <w:t>erified on hardware. §5 moves it to “implemented”; §8 updated.</w:t>
            </w:r>
          </w:p>
        </w:tc>
      </w:tr>
      <w:tr w:rsidR="000F1D69" w:rsidTr="00F51827">
        <w:tc>
          <w:tcPr>
            <w:tcW w:w="13248" w:type="dxa"/>
            <w:gridSpan w:val="4"/>
            <w:shd w:val="clear" w:color="auto" w:fill="DCE6F1"/>
          </w:tcPr>
          <w:p w:rsidR="000F1D69" w:rsidRDefault="00F51827">
            <w:r>
              <w:rPr>
                <w:b/>
                <w:color w:val="1F3864"/>
                <w:sz w:val="20"/>
              </w:rPr>
              <w:lastRenderedPageBreak/>
              <w:t>Important items</w:t>
            </w:r>
          </w:p>
        </w:tc>
      </w:tr>
      <w:tr w:rsidR="000F1D69" w:rsidTr="00F51827">
        <w:trPr>
          <w:gridAfter w:val="1"/>
          <w:wAfter w:w="2832" w:type="dxa"/>
        </w:trPr>
        <w:tc>
          <w:tcPr>
            <w:tcW w:w="4503" w:type="dxa"/>
          </w:tcPr>
          <w:p w:rsidR="000F1D69" w:rsidRDefault="00F51827">
            <w:r>
              <w:rPr>
                <w:sz w:val="18"/>
              </w:rPr>
              <w:t>I1. Fix Table 6 (missing 75th-percentile cell); drop or qualify the CV-heterogeneity narrative.</w:t>
            </w:r>
          </w:p>
        </w:tc>
        <w:tc>
          <w:tcPr>
            <w:tcW w:w="1417" w:type="dxa"/>
            <w:shd w:val="clear" w:color="auto" w:fill="D9EAD3"/>
          </w:tcPr>
          <w:p w:rsidR="000F1D69" w:rsidRDefault="00F51827">
            <w:pPr>
              <w:jc w:val="center"/>
            </w:pPr>
            <w:r>
              <w:rPr>
                <w:b/>
                <w:sz w:val="18"/>
              </w:rPr>
              <w:t>Done</w:t>
            </w:r>
          </w:p>
        </w:tc>
        <w:tc>
          <w:tcPr>
            <w:tcW w:w="4496" w:type="dxa"/>
          </w:tcPr>
          <w:p w:rsidR="000F1D69" w:rsidRDefault="00F51827">
            <w:r>
              <w:rPr>
                <w:sz w:val="18"/>
              </w:rPr>
              <w:t>75th-percentile filled (0.0343); the CV framing is now qualified as immate</w:t>
            </w:r>
            <w:r>
              <w:rPr>
                <w:sz w:val="18"/>
              </w:rPr>
              <w:t>rial within a 1.65-second suite.</w:t>
            </w:r>
          </w:p>
        </w:tc>
      </w:tr>
      <w:tr w:rsidR="000F1D69" w:rsidTr="00F51827">
        <w:trPr>
          <w:gridAfter w:val="1"/>
          <w:wAfter w:w="2832" w:type="dxa"/>
        </w:trPr>
        <w:tc>
          <w:tcPr>
            <w:tcW w:w="4503" w:type="dxa"/>
          </w:tcPr>
          <w:p w:rsidR="000F1D69" w:rsidRDefault="00F51827">
            <w:r>
              <w:rPr>
                <w:sz w:val="18"/>
              </w:rPr>
              <w:t>I2. Resolve the figure numbering (Figures 1–3 never cited).</w:t>
            </w:r>
          </w:p>
        </w:tc>
        <w:tc>
          <w:tcPr>
            <w:tcW w:w="1417" w:type="dxa"/>
            <w:shd w:val="clear" w:color="auto" w:fill="D9EAD3"/>
          </w:tcPr>
          <w:p w:rsidR="000F1D69" w:rsidRDefault="00F51827">
            <w:pPr>
              <w:jc w:val="center"/>
            </w:pPr>
            <w:r>
              <w:rPr>
                <w:b/>
                <w:sz w:val="18"/>
              </w:rPr>
              <w:t>Done</w:t>
            </w:r>
          </w:p>
        </w:tc>
        <w:tc>
          <w:tcPr>
            <w:tcW w:w="4496" w:type="dxa"/>
          </w:tcPr>
          <w:p w:rsidR="000F1D69" w:rsidRDefault="00F51827">
            <w:r>
              <w:rPr>
                <w:sz w:val="18"/>
              </w:rPr>
              <w:t>Figures 1–3 now cited in §5, §4.2, §4.5; all four figures referenced in order.</w:t>
            </w:r>
          </w:p>
        </w:tc>
      </w:tr>
      <w:tr w:rsidR="000F1D69" w:rsidTr="00F51827">
        <w:trPr>
          <w:gridAfter w:val="1"/>
          <w:wAfter w:w="2832" w:type="dxa"/>
        </w:trPr>
        <w:tc>
          <w:tcPr>
            <w:tcW w:w="4503" w:type="dxa"/>
          </w:tcPr>
          <w:p w:rsidR="000F1D69" w:rsidRDefault="00F51827">
            <w:r>
              <w:rPr>
                <w:sz w:val="18"/>
              </w:rPr>
              <w:t xml:space="preserve">I3. Stabilize preprint references; soften claims resting solely on </w:t>
            </w:r>
            <w:r>
              <w:rPr>
                <w:sz w:val="18"/>
              </w:rPr>
              <w:t>non-refereed sources ([36]).</w:t>
            </w:r>
          </w:p>
        </w:tc>
        <w:tc>
          <w:tcPr>
            <w:tcW w:w="1417" w:type="dxa"/>
            <w:shd w:val="clear" w:color="auto" w:fill="FFF2CC"/>
          </w:tcPr>
          <w:p w:rsidR="000F1D69" w:rsidRDefault="00F51827">
            <w:pPr>
              <w:jc w:val="center"/>
            </w:pPr>
            <w:r>
              <w:rPr>
                <w:b/>
                <w:sz w:val="18"/>
              </w:rPr>
              <w:t>Done (as feasible)</w:t>
            </w:r>
          </w:p>
        </w:tc>
        <w:tc>
          <w:tcPr>
            <w:tcW w:w="4496" w:type="dxa"/>
          </w:tcPr>
          <w:p w:rsidR="000F1D69" w:rsidRDefault="00F51827">
            <w:r>
              <w:rPr>
                <w:sz w:val="18"/>
              </w:rPr>
              <w:t>Claims depending on preprints ([36], [25]) now flag their preprint status and are softened; they cannot be fully stabilized until those works are published.</w:t>
            </w:r>
          </w:p>
        </w:tc>
      </w:tr>
      <w:tr w:rsidR="000F1D69" w:rsidTr="00F51827">
        <w:trPr>
          <w:gridAfter w:val="1"/>
          <w:wAfter w:w="2832" w:type="dxa"/>
        </w:trPr>
        <w:tc>
          <w:tcPr>
            <w:tcW w:w="4503" w:type="dxa"/>
          </w:tcPr>
          <w:p w:rsidR="000F1D69" w:rsidRDefault="00F51827">
            <w:r>
              <w:rPr>
                <w:sz w:val="18"/>
              </w:rPr>
              <w:t>I4. Add confidence intervals throughout the small-</w:t>
            </w:r>
            <w:r>
              <w:rPr>
                <w:sz w:val="18"/>
              </w:rPr>
              <w:t>n results.</w:t>
            </w:r>
          </w:p>
        </w:tc>
        <w:tc>
          <w:tcPr>
            <w:tcW w:w="1417" w:type="dxa"/>
            <w:shd w:val="clear" w:color="auto" w:fill="D9EAD3"/>
          </w:tcPr>
          <w:p w:rsidR="000F1D69" w:rsidRDefault="00F51827">
            <w:pPr>
              <w:jc w:val="center"/>
            </w:pPr>
            <w:r>
              <w:rPr>
                <w:b/>
                <w:sz w:val="18"/>
              </w:rPr>
              <w:t>Done</w:t>
            </w:r>
          </w:p>
        </w:tc>
        <w:tc>
          <w:tcPr>
            <w:tcW w:w="4496" w:type="dxa"/>
          </w:tcPr>
          <w:p w:rsidR="000F1D69" w:rsidRDefault="00F51827">
            <w:r>
              <w:rPr>
                <w:sz w:val="18"/>
              </w:rPr>
              <w:t>Wilson CI on the proportion; Cohen’s κ CIs; Fleiss’ κ; the selection results already carry bootstrap CIs and effect sizes.</w:t>
            </w:r>
          </w:p>
        </w:tc>
      </w:tr>
      <w:tr w:rsidR="000F1D69" w:rsidTr="00F51827">
        <w:trPr>
          <w:gridAfter w:val="1"/>
          <w:wAfter w:w="2832" w:type="dxa"/>
        </w:trPr>
        <w:tc>
          <w:tcPr>
            <w:tcW w:w="4503" w:type="dxa"/>
          </w:tcPr>
          <w:p w:rsidR="000F1D69" w:rsidRDefault="00F51827">
            <w:r>
              <w:rPr>
                <w:sz w:val="18"/>
              </w:rPr>
              <w:t>I5. Quantify the detection uplift from fault-class-matched oracles; give a concrete Qiskit-CI assertion recommendati</w:t>
            </w:r>
            <w:r>
              <w:rPr>
                <w:sz w:val="18"/>
              </w:rPr>
              <w:t>on.</w:t>
            </w:r>
          </w:p>
        </w:tc>
        <w:tc>
          <w:tcPr>
            <w:tcW w:w="1417" w:type="dxa"/>
            <w:shd w:val="clear" w:color="auto" w:fill="D5E8F0"/>
          </w:tcPr>
          <w:p w:rsidR="000F1D69" w:rsidRDefault="00F51827">
            <w:pPr>
              <w:jc w:val="center"/>
            </w:pPr>
            <w:r>
              <w:rPr>
                <w:b/>
                <w:sz w:val="18"/>
              </w:rPr>
              <w:t>Done &amp; strengthened</w:t>
            </w:r>
          </w:p>
        </w:tc>
        <w:tc>
          <w:tcPr>
            <w:tcW w:w="4496" w:type="dxa"/>
          </w:tcPr>
          <w:p w:rsidR="000F1D69" w:rsidRDefault="00F51827">
            <w:r>
              <w:rPr>
                <w:sz w:val="18"/>
              </w:rPr>
              <w:t>§6.6 states all 24 of the 70 output-invisible fixes would become observable, and recommends asserting TranspileLayout / final_layout / routing_permutation / virtual_permutation_layout in CI — a recommendation we also prototyped (the</w:t>
            </w:r>
            <w:r>
              <w:rPr>
                <w:sz w:val="18"/>
              </w:rPr>
              <w:t xml:space="preserve"> property oracle).</w:t>
            </w:r>
          </w:p>
        </w:tc>
      </w:tr>
      <w:tr w:rsidR="000F1D69" w:rsidTr="00F51827">
        <w:trPr>
          <w:gridAfter w:val="1"/>
          <w:wAfter w:w="2832" w:type="dxa"/>
        </w:trPr>
        <w:tc>
          <w:tcPr>
            <w:tcW w:w="4503" w:type="dxa"/>
          </w:tcPr>
          <w:p w:rsidR="000F1D69" w:rsidRDefault="00F51827">
            <w:r>
              <w:rPr>
                <w:sz w:val="18"/>
              </w:rPr>
              <w:t>I6. Surface the “vacuous temporal split” as an explicit threat.</w:t>
            </w:r>
          </w:p>
        </w:tc>
        <w:tc>
          <w:tcPr>
            <w:tcW w:w="1417" w:type="dxa"/>
            <w:shd w:val="clear" w:color="auto" w:fill="D9EAD3"/>
          </w:tcPr>
          <w:p w:rsidR="000F1D69" w:rsidRDefault="00F51827">
            <w:pPr>
              <w:jc w:val="center"/>
            </w:pPr>
            <w:r>
              <w:rPr>
                <w:b/>
                <w:sz w:val="18"/>
              </w:rPr>
              <w:t>Done</w:t>
            </w:r>
          </w:p>
        </w:tc>
        <w:tc>
          <w:tcPr>
            <w:tcW w:w="4496" w:type="dxa"/>
          </w:tcPr>
          <w:p w:rsidR="000F1D69" w:rsidRDefault="00F51827">
            <w:r>
              <w:rPr>
                <w:sz w:val="18"/>
              </w:rPr>
              <w:t>Added as an explicit internal-validity threat in §8.</w:t>
            </w:r>
          </w:p>
        </w:tc>
      </w:tr>
      <w:tr w:rsidR="000F1D69" w:rsidTr="00F51827">
        <w:tc>
          <w:tcPr>
            <w:tcW w:w="13248" w:type="dxa"/>
            <w:gridSpan w:val="4"/>
            <w:shd w:val="clear" w:color="auto" w:fill="DCE6F1"/>
          </w:tcPr>
          <w:p w:rsidR="000F1D69" w:rsidRDefault="00F51827">
            <w:r>
              <w:rPr>
                <w:b/>
                <w:color w:val="1F3864"/>
                <w:sz w:val="20"/>
              </w:rPr>
              <w:t>Minor items</w:t>
            </w:r>
          </w:p>
        </w:tc>
      </w:tr>
      <w:tr w:rsidR="000F1D69" w:rsidTr="00F51827">
        <w:trPr>
          <w:gridAfter w:val="1"/>
          <w:wAfter w:w="2832" w:type="dxa"/>
        </w:trPr>
        <w:tc>
          <w:tcPr>
            <w:tcW w:w="4503" w:type="dxa"/>
          </w:tcPr>
          <w:p w:rsidR="000F1D69" w:rsidRDefault="00F51827">
            <w:r>
              <w:rPr>
                <w:sz w:val="18"/>
              </w:rPr>
              <w:t>M1. Remove the ~4× repetition of the “cheap detectors saturate early” point.</w:t>
            </w:r>
          </w:p>
        </w:tc>
        <w:tc>
          <w:tcPr>
            <w:tcW w:w="1417" w:type="dxa"/>
            <w:shd w:val="clear" w:color="auto" w:fill="D9EAD3"/>
          </w:tcPr>
          <w:p w:rsidR="000F1D69" w:rsidRDefault="00F51827">
            <w:pPr>
              <w:jc w:val="center"/>
            </w:pPr>
            <w:r>
              <w:rPr>
                <w:b/>
                <w:sz w:val="18"/>
              </w:rPr>
              <w:t>Done</w:t>
            </w:r>
          </w:p>
        </w:tc>
        <w:tc>
          <w:tcPr>
            <w:tcW w:w="4496" w:type="dxa"/>
          </w:tcPr>
          <w:p w:rsidR="000F1D69" w:rsidRDefault="00F51827">
            <w:r>
              <w:rPr>
                <w:sz w:val="18"/>
              </w:rPr>
              <w:t>Stated once in §6.</w:t>
            </w:r>
            <w:r>
              <w:rPr>
                <w:sz w:val="18"/>
              </w:rPr>
              <w:t>3; back-references elsewhere (§7, §9, §10).</w:t>
            </w:r>
          </w:p>
        </w:tc>
      </w:tr>
      <w:tr w:rsidR="000F1D69" w:rsidTr="00F51827">
        <w:trPr>
          <w:gridAfter w:val="1"/>
          <w:wAfter w:w="2832" w:type="dxa"/>
        </w:trPr>
        <w:tc>
          <w:tcPr>
            <w:tcW w:w="4503" w:type="dxa"/>
          </w:tcPr>
          <w:p w:rsidR="000F1D69" w:rsidRDefault="00F51827">
            <w:r>
              <w:rPr>
                <w:sz w:val="18"/>
              </w:rPr>
              <w:t>M2. Shorten the abstract; lead with the validated finding.</w:t>
            </w:r>
          </w:p>
        </w:tc>
        <w:tc>
          <w:tcPr>
            <w:tcW w:w="1417" w:type="dxa"/>
            <w:shd w:val="clear" w:color="auto" w:fill="D9EAD3"/>
          </w:tcPr>
          <w:p w:rsidR="000F1D69" w:rsidRDefault="00F51827">
            <w:pPr>
              <w:jc w:val="center"/>
            </w:pPr>
            <w:r>
              <w:rPr>
                <w:b/>
                <w:sz w:val="18"/>
              </w:rPr>
              <w:t>Done</w:t>
            </w:r>
          </w:p>
        </w:tc>
        <w:tc>
          <w:tcPr>
            <w:tcW w:w="4496" w:type="dxa"/>
          </w:tcPr>
          <w:p w:rsidR="000F1D69" w:rsidRDefault="00F51827">
            <w:r>
              <w:rPr>
                <w:sz w:val="18"/>
              </w:rPr>
              <w:t>Abstract shortened and now opens with the observability gap and its interval.</w:t>
            </w:r>
          </w:p>
        </w:tc>
      </w:tr>
      <w:tr w:rsidR="000F1D69" w:rsidTr="00F51827">
        <w:trPr>
          <w:gridAfter w:val="1"/>
          <w:wAfter w:w="2832" w:type="dxa"/>
        </w:trPr>
        <w:tc>
          <w:tcPr>
            <w:tcW w:w="4503" w:type="dxa"/>
          </w:tcPr>
          <w:p w:rsidR="000F1D69" w:rsidRDefault="00F51827">
            <w:r>
              <w:rPr>
                <w:sz w:val="18"/>
              </w:rPr>
              <w:t>M3. Split overlong sentences; standardize the “cart” prototype name.</w:t>
            </w:r>
          </w:p>
        </w:tc>
        <w:tc>
          <w:tcPr>
            <w:tcW w:w="1417" w:type="dxa"/>
            <w:shd w:val="clear" w:color="auto" w:fill="D9EAD3"/>
          </w:tcPr>
          <w:p w:rsidR="000F1D69" w:rsidRDefault="00F51827">
            <w:pPr>
              <w:jc w:val="center"/>
            </w:pPr>
            <w:r>
              <w:rPr>
                <w:b/>
                <w:sz w:val="18"/>
              </w:rPr>
              <w:t>Done</w:t>
            </w:r>
          </w:p>
        </w:tc>
        <w:tc>
          <w:tcPr>
            <w:tcW w:w="4496" w:type="dxa"/>
          </w:tcPr>
          <w:p w:rsidR="000F1D69" w:rsidRDefault="00F51827">
            <w:r>
              <w:rPr>
                <w:sz w:val="18"/>
              </w:rPr>
              <w:t>Worst run-ons split; “cart” expanded once (“cost-aware regression testing”).</w:t>
            </w:r>
          </w:p>
        </w:tc>
      </w:tr>
      <w:tr w:rsidR="000F1D69" w:rsidTr="00F51827">
        <w:tc>
          <w:tcPr>
            <w:tcW w:w="13248" w:type="dxa"/>
            <w:gridSpan w:val="4"/>
            <w:shd w:val="clear" w:color="auto" w:fill="DCE6F1"/>
          </w:tcPr>
          <w:p w:rsidR="000F1D69" w:rsidRDefault="00F51827">
            <w:r>
              <w:rPr>
                <w:b/>
                <w:color w:val="1F3864"/>
                <w:sz w:val="20"/>
              </w:rPr>
              <w:t>Additional reviewer comments</w:t>
            </w:r>
          </w:p>
        </w:tc>
      </w:tr>
      <w:tr w:rsidR="000F1D69" w:rsidTr="00F51827">
        <w:trPr>
          <w:gridAfter w:val="1"/>
          <w:wAfter w:w="2832" w:type="dxa"/>
        </w:trPr>
        <w:tc>
          <w:tcPr>
            <w:tcW w:w="4503" w:type="dxa"/>
          </w:tcPr>
          <w:p w:rsidR="000F1D69" w:rsidRDefault="00F51827">
            <w:r>
              <w:rPr>
                <w:sz w:val="18"/>
              </w:rPr>
              <w:t>R1. Report the empirical false-positive rate (defined but never quantified).</w:t>
            </w:r>
          </w:p>
        </w:tc>
        <w:tc>
          <w:tcPr>
            <w:tcW w:w="1417" w:type="dxa"/>
            <w:shd w:val="clear" w:color="auto" w:fill="D9EAD3"/>
          </w:tcPr>
          <w:p w:rsidR="000F1D69" w:rsidRDefault="00F51827">
            <w:pPr>
              <w:jc w:val="center"/>
            </w:pPr>
            <w:r>
              <w:rPr>
                <w:b/>
                <w:sz w:val="18"/>
              </w:rPr>
              <w:t>Done</w:t>
            </w:r>
          </w:p>
        </w:tc>
        <w:tc>
          <w:tcPr>
            <w:tcW w:w="4496" w:type="dxa"/>
          </w:tcPr>
          <w:p w:rsidR="000F1D69" w:rsidRDefault="00F51827">
            <w:r>
              <w:rPr>
                <w:sz w:val="18"/>
              </w:rPr>
              <w:t xml:space="preserve">Reported as 0.068 in §6.2; the property oracle’s FP rate is </w:t>
            </w:r>
            <w:r>
              <w:rPr>
                <w:sz w:val="18"/>
              </w:rPr>
              <w:t>zero on the H1/H2 events.</w:t>
            </w:r>
          </w:p>
        </w:tc>
      </w:tr>
      <w:tr w:rsidR="000F1D69" w:rsidTr="00F51827">
        <w:trPr>
          <w:gridAfter w:val="1"/>
          <w:wAfter w:w="2832" w:type="dxa"/>
        </w:trPr>
        <w:tc>
          <w:tcPr>
            <w:tcW w:w="4503" w:type="dxa"/>
          </w:tcPr>
          <w:p w:rsidR="000F1D69" w:rsidRDefault="00F51827">
            <w:r>
              <w:rPr>
                <w:sz w:val="18"/>
              </w:rPr>
              <w:t>R1. Present risk_score as a documented heuristic baseline; its hand-set weights are unjustified.</w:t>
            </w:r>
          </w:p>
        </w:tc>
        <w:tc>
          <w:tcPr>
            <w:tcW w:w="1417" w:type="dxa"/>
            <w:shd w:val="clear" w:color="auto" w:fill="D9EAD3"/>
          </w:tcPr>
          <w:p w:rsidR="000F1D69" w:rsidRDefault="00F51827">
            <w:pPr>
              <w:jc w:val="center"/>
            </w:pPr>
            <w:r>
              <w:rPr>
                <w:b/>
                <w:sz w:val="18"/>
              </w:rPr>
              <w:t>Done</w:t>
            </w:r>
          </w:p>
        </w:tc>
        <w:tc>
          <w:tcPr>
            <w:tcW w:w="4496" w:type="dxa"/>
          </w:tcPr>
          <w:p w:rsidR="000F1D69" w:rsidRDefault="00F51827">
            <w:r>
              <w:rPr>
                <w:sz w:val="18"/>
              </w:rPr>
              <w:t xml:space="preserve">§4.5 states the weights are hand-set (not learned/calibrated) and frames the selector as a documented heuristic baseline, </w:t>
            </w:r>
            <w:r>
              <w:rPr>
                <w:sz w:val="18"/>
              </w:rPr>
              <w:t>assessed by ablation.</w:t>
            </w:r>
          </w:p>
        </w:tc>
      </w:tr>
      <w:tr w:rsidR="000F1D69" w:rsidTr="00F51827">
        <w:trPr>
          <w:gridAfter w:val="1"/>
          <w:wAfter w:w="2832" w:type="dxa"/>
        </w:trPr>
        <w:tc>
          <w:tcPr>
            <w:tcW w:w="4503" w:type="dxa"/>
          </w:tcPr>
          <w:p w:rsidR="000F1D69" w:rsidRDefault="00F51827">
            <w:r>
              <w:rPr>
                <w:sz w:val="18"/>
              </w:rPr>
              <w:t>R1. The structural fallback above 12 qubits is not a correctness oracle — bound its miss rate or restrict claims.</w:t>
            </w:r>
          </w:p>
        </w:tc>
        <w:tc>
          <w:tcPr>
            <w:tcW w:w="1417" w:type="dxa"/>
            <w:shd w:val="clear" w:color="auto" w:fill="D9EAD3"/>
          </w:tcPr>
          <w:p w:rsidR="000F1D69" w:rsidRDefault="00F51827">
            <w:pPr>
              <w:jc w:val="center"/>
            </w:pPr>
            <w:r>
              <w:rPr>
                <w:b/>
                <w:sz w:val="18"/>
              </w:rPr>
              <w:t>Done (restricted)</w:t>
            </w:r>
          </w:p>
        </w:tc>
        <w:tc>
          <w:tcPr>
            <w:tcW w:w="4496" w:type="dxa"/>
          </w:tcPr>
          <w:p w:rsidR="000F1D69" w:rsidRDefault="00F51827">
            <w:r>
              <w:rPr>
                <w:sz w:val="18"/>
              </w:rPr>
              <w:t>Semantic claims are restricted to the exact-unitary tier; §8 flags that the evaluated system is narro</w:t>
            </w:r>
            <w:r>
              <w:rPr>
                <w:sz w:val="18"/>
              </w:rPr>
              <w:t>wer than the oracle architecture and that the structural tier is not a semantic check.</w:t>
            </w:r>
          </w:p>
        </w:tc>
      </w:tr>
      <w:tr w:rsidR="000F1D69" w:rsidTr="00F51827">
        <w:trPr>
          <w:gridAfter w:val="1"/>
          <w:wAfter w:w="2832" w:type="dxa"/>
        </w:trPr>
        <w:tc>
          <w:tcPr>
            <w:tcW w:w="4503" w:type="dxa"/>
          </w:tcPr>
          <w:p w:rsidR="000F1D69" w:rsidRDefault="00F51827">
            <w:r>
              <w:rPr>
                <w:sz w:val="18"/>
              </w:rPr>
              <w:t>R2. Engage the equivalence-checking scalability literature; contrast the finding with its output-equivalence assumption.</w:t>
            </w:r>
          </w:p>
        </w:tc>
        <w:tc>
          <w:tcPr>
            <w:tcW w:w="1417" w:type="dxa"/>
            <w:shd w:val="clear" w:color="auto" w:fill="D9EAD3"/>
          </w:tcPr>
          <w:p w:rsidR="000F1D69" w:rsidRDefault="00F51827">
            <w:pPr>
              <w:jc w:val="center"/>
            </w:pPr>
            <w:r>
              <w:rPr>
                <w:b/>
                <w:sz w:val="18"/>
              </w:rPr>
              <w:t>Done</w:t>
            </w:r>
          </w:p>
        </w:tc>
        <w:tc>
          <w:tcPr>
            <w:tcW w:w="4496" w:type="dxa"/>
          </w:tcPr>
          <w:p w:rsidR="000F1D69" w:rsidRDefault="00F51827">
            <w:r>
              <w:rPr>
                <w:sz w:val="18"/>
              </w:rPr>
              <w:t>§2.3 now contrasts the observability findi</w:t>
            </w:r>
            <w:r>
              <w:rPr>
                <w:sz w:val="18"/>
              </w:rPr>
              <w:t>ng against the equivalence-checking literature’s implicit assumption that output equivalence is the correctness criterion.</w:t>
            </w:r>
          </w:p>
        </w:tc>
      </w:tr>
      <w:tr w:rsidR="000F1D69" w:rsidTr="00F51827">
        <w:trPr>
          <w:gridAfter w:val="1"/>
          <w:wAfter w:w="2832" w:type="dxa"/>
        </w:trPr>
        <w:tc>
          <w:tcPr>
            <w:tcW w:w="4503" w:type="dxa"/>
          </w:tcPr>
          <w:p w:rsidR="000F1D69" w:rsidRDefault="00F51827">
            <w:r>
              <w:rPr>
                <w:sz w:val="18"/>
              </w:rPr>
              <w:t>Ethics: add a reproducibility-scope caveat (H2/H3/H5 not run); make the AI-use statement specific.</w:t>
            </w:r>
          </w:p>
        </w:tc>
        <w:tc>
          <w:tcPr>
            <w:tcW w:w="1417" w:type="dxa"/>
            <w:shd w:val="clear" w:color="auto" w:fill="D9EAD3"/>
          </w:tcPr>
          <w:p w:rsidR="000F1D69" w:rsidRDefault="00F51827">
            <w:pPr>
              <w:jc w:val="center"/>
            </w:pPr>
            <w:r>
              <w:rPr>
                <w:b/>
                <w:sz w:val="18"/>
              </w:rPr>
              <w:t>Done</w:t>
            </w:r>
          </w:p>
        </w:tc>
        <w:tc>
          <w:tcPr>
            <w:tcW w:w="4496" w:type="dxa"/>
          </w:tcPr>
          <w:p w:rsidR="000F1D69" w:rsidRDefault="00F51827">
            <w:r>
              <w:rPr>
                <w:sz w:val="18"/>
              </w:rPr>
              <w:t>§8 states H2/H3/H5 are not r</w:t>
            </w:r>
            <w:r>
              <w:rPr>
                <w:sz w:val="18"/>
              </w:rPr>
              <w:t>eproducible as submitted; the AI-use statement now specifies drafting vs. code vs. analysis.</w:t>
            </w:r>
          </w:p>
        </w:tc>
      </w:tr>
      <w:tr w:rsidR="000F1D69" w:rsidTr="00F51827">
        <w:tc>
          <w:tcPr>
            <w:tcW w:w="13248" w:type="dxa"/>
            <w:gridSpan w:val="4"/>
            <w:shd w:val="clear" w:color="auto" w:fill="DCE6F1"/>
          </w:tcPr>
          <w:p w:rsidR="000F1D69" w:rsidRDefault="00F51827">
            <w:r>
              <w:rPr>
                <w:b/>
                <w:color w:val="1F3864"/>
                <w:sz w:val="20"/>
              </w:rPr>
              <w:t>Changes beyond the reviewers’ requests (new / strengthened)</w:t>
            </w:r>
          </w:p>
        </w:tc>
      </w:tr>
      <w:tr w:rsidR="000F1D69" w:rsidTr="00F51827">
        <w:trPr>
          <w:gridAfter w:val="1"/>
          <w:wAfter w:w="2832" w:type="dxa"/>
        </w:trPr>
        <w:tc>
          <w:tcPr>
            <w:tcW w:w="4503" w:type="dxa"/>
          </w:tcPr>
          <w:p w:rsidR="000F1D69" w:rsidRDefault="00F51827">
            <w:r>
              <w:rPr>
                <w:sz w:val="18"/>
              </w:rPr>
              <w:t>A verified forward-regression event.</w:t>
            </w:r>
          </w:p>
        </w:tc>
        <w:tc>
          <w:tcPr>
            <w:tcW w:w="1417" w:type="dxa"/>
            <w:shd w:val="clear" w:color="auto" w:fill="D5E8F0"/>
          </w:tcPr>
          <w:p w:rsidR="000F1D69" w:rsidRDefault="00F51827">
            <w:pPr>
              <w:jc w:val="center"/>
            </w:pPr>
            <w:r>
              <w:rPr>
                <w:b/>
                <w:sz w:val="18"/>
              </w:rPr>
              <w:t>New</w:t>
            </w:r>
          </w:p>
        </w:tc>
        <w:tc>
          <w:tcPr>
            <w:tcW w:w="4496" w:type="dxa"/>
          </w:tcPr>
          <w:p w:rsidR="000F1D69" w:rsidRDefault="00F51827">
            <w:r>
              <w:rPr>
                <w:sz w:val="18"/>
              </w:rPr>
              <w:t>H4 (VF2PostLayout no-op) is now verified via a new multi-run</w:t>
            </w:r>
            <w:r>
              <w:rPr>
                <w:sz w:val="18"/>
              </w:rPr>
              <w:t xml:space="preserve"> Stage-2 performance oracle — from 0 to 1 verified forward regression (slowdown 1.9× → &gt;300× with width; Cliff’s δ = 1.0).</w:t>
            </w:r>
          </w:p>
        </w:tc>
      </w:tr>
      <w:tr w:rsidR="000F1D69" w:rsidTr="00F51827">
        <w:trPr>
          <w:gridAfter w:val="1"/>
          <w:wAfter w:w="2832" w:type="dxa"/>
        </w:trPr>
        <w:tc>
          <w:tcPr>
            <w:tcW w:w="4503" w:type="dxa"/>
          </w:tcPr>
          <w:p w:rsidR="000F1D69" w:rsidRDefault="00F51827">
            <w:r>
              <w:rPr>
                <w:sz w:val="18"/>
              </w:rPr>
              <w:t>H1 detected, not merely shown invisible.</w:t>
            </w:r>
          </w:p>
        </w:tc>
        <w:tc>
          <w:tcPr>
            <w:tcW w:w="1417" w:type="dxa"/>
            <w:shd w:val="clear" w:color="auto" w:fill="D5E8F0"/>
          </w:tcPr>
          <w:p w:rsidR="000F1D69" w:rsidRDefault="00F51827">
            <w:pPr>
              <w:jc w:val="center"/>
            </w:pPr>
            <w:r>
              <w:rPr>
                <w:b/>
                <w:sz w:val="18"/>
              </w:rPr>
              <w:t>New</w:t>
            </w:r>
          </w:p>
        </w:tc>
        <w:tc>
          <w:tcPr>
            <w:tcW w:w="4496" w:type="dxa"/>
          </w:tcPr>
          <w:p w:rsidR="000F1D69" w:rsidRDefault="00F51827">
            <w:r>
              <w:rPr>
                <w:sz w:val="18"/>
              </w:rPr>
              <w:t>The isolated-pass/property oracle detects H1 (masked by the full pipeline), demonstrati</w:t>
            </w:r>
            <w:r>
              <w:rPr>
                <w:sz w:val="18"/>
              </w:rPr>
              <w:t>ng that the proposed fault-class-matched oracle actually works.</w:t>
            </w:r>
          </w:p>
        </w:tc>
      </w:tr>
      <w:tr w:rsidR="000F1D69" w:rsidTr="00F51827">
        <w:trPr>
          <w:gridAfter w:val="1"/>
          <w:wAfter w:w="2832" w:type="dxa"/>
        </w:trPr>
        <w:tc>
          <w:tcPr>
            <w:tcW w:w="4503" w:type="dxa"/>
          </w:tcPr>
          <w:p w:rsidR="000F1D69" w:rsidRDefault="00F51827">
            <w:r>
              <w:rPr>
                <w:sz w:val="18"/>
              </w:rPr>
              <w:t>Third human rater + Fleiss’ κ.</w:t>
            </w:r>
          </w:p>
        </w:tc>
        <w:tc>
          <w:tcPr>
            <w:tcW w:w="1417" w:type="dxa"/>
            <w:shd w:val="clear" w:color="auto" w:fill="D5E8F0"/>
          </w:tcPr>
          <w:p w:rsidR="000F1D69" w:rsidRDefault="00F51827">
            <w:pPr>
              <w:jc w:val="center"/>
            </w:pPr>
            <w:r>
              <w:rPr>
                <w:b/>
                <w:sz w:val="18"/>
              </w:rPr>
              <w:t>New</w:t>
            </w:r>
          </w:p>
        </w:tc>
        <w:tc>
          <w:tcPr>
            <w:tcW w:w="4496" w:type="dxa"/>
          </w:tcPr>
          <w:p w:rsidR="000F1D69" w:rsidRDefault="00F51827">
            <w:r>
              <w:rPr>
                <w:sz w:val="18"/>
              </w:rPr>
              <w:t>Inter-rater agreement now uses three human raters (Fleiss’ κ = 0.79), beyond the two-rater study reviewed.</w:t>
            </w:r>
          </w:p>
        </w:tc>
      </w:tr>
      <w:tr w:rsidR="000F1D69" w:rsidTr="00F51827">
        <w:trPr>
          <w:gridAfter w:val="1"/>
          <w:wAfter w:w="2832" w:type="dxa"/>
        </w:trPr>
        <w:tc>
          <w:tcPr>
            <w:tcW w:w="4503" w:type="dxa"/>
          </w:tcPr>
          <w:p w:rsidR="000F1D69" w:rsidRDefault="00F51827">
            <w:r>
              <w:rPr>
                <w:sz w:val="18"/>
              </w:rPr>
              <w:t>Reproducibility tooling released.</w:t>
            </w:r>
          </w:p>
        </w:tc>
        <w:tc>
          <w:tcPr>
            <w:tcW w:w="1417" w:type="dxa"/>
            <w:shd w:val="clear" w:color="auto" w:fill="D5E8F0"/>
          </w:tcPr>
          <w:p w:rsidR="000F1D69" w:rsidRDefault="00F51827">
            <w:pPr>
              <w:jc w:val="center"/>
            </w:pPr>
            <w:r>
              <w:rPr>
                <w:b/>
                <w:sz w:val="18"/>
              </w:rPr>
              <w:t>New</w:t>
            </w:r>
          </w:p>
        </w:tc>
        <w:tc>
          <w:tcPr>
            <w:tcW w:w="4496" w:type="dxa"/>
          </w:tcPr>
          <w:p w:rsidR="000F1D69" w:rsidRDefault="00F51827">
            <w:r>
              <w:rPr>
                <w:sz w:val="18"/>
              </w:rPr>
              <w:t>New releas</w:t>
            </w:r>
            <w:r>
              <w:rPr>
                <w:sz w:val="18"/>
              </w:rPr>
              <w:t>ed scripts: mining statistics (Wilson/Cohen/Fleiss), rater merge, forward-event setup, and property-oracle verification.</w:t>
            </w:r>
          </w:p>
        </w:tc>
      </w:tr>
      <w:tr w:rsidR="000F1D69" w:rsidTr="00F51827">
        <w:tc>
          <w:tcPr>
            <w:tcW w:w="13248" w:type="dxa"/>
            <w:gridSpan w:val="4"/>
            <w:shd w:val="clear" w:color="auto" w:fill="DCE6F1"/>
          </w:tcPr>
          <w:p w:rsidR="000F1D69" w:rsidRDefault="00F51827">
            <w:r>
              <w:rPr>
                <w:b/>
                <w:color w:val="1F3864"/>
                <w:sz w:val="20"/>
              </w:rPr>
              <w:t>Deferred to the pre-specified scale-up (transparent)</w:t>
            </w:r>
          </w:p>
        </w:tc>
      </w:tr>
      <w:tr w:rsidR="000F1D69" w:rsidTr="00F51827">
        <w:trPr>
          <w:gridAfter w:val="1"/>
          <w:wAfter w:w="2832" w:type="dxa"/>
        </w:trPr>
        <w:tc>
          <w:tcPr>
            <w:tcW w:w="4503" w:type="dxa"/>
          </w:tcPr>
          <w:p w:rsidR="000F1D69" w:rsidRDefault="00F51827">
            <w:r>
              <w:rPr>
                <w:sz w:val="18"/>
              </w:rPr>
              <w:t xml:space="preserve">Path B: scale selection into a true cost-pressure regime with ≥3 verified </w:t>
            </w:r>
            <w:r>
              <w:rPr>
                <w:sz w:val="18"/>
              </w:rPr>
              <w:t>forward regressions.</w:t>
            </w:r>
          </w:p>
        </w:tc>
        <w:tc>
          <w:tcPr>
            <w:tcW w:w="1417" w:type="dxa"/>
            <w:shd w:val="clear" w:color="auto" w:fill="FFF2CC"/>
          </w:tcPr>
          <w:p w:rsidR="000F1D69" w:rsidRDefault="00F51827">
            <w:pPr>
              <w:jc w:val="center"/>
            </w:pPr>
            <w:r>
              <w:rPr>
                <w:b/>
                <w:sz w:val="18"/>
              </w:rPr>
              <w:t>Future work</w:t>
            </w:r>
          </w:p>
        </w:tc>
        <w:tc>
          <w:tcPr>
            <w:tcW w:w="4496" w:type="dxa"/>
          </w:tcPr>
          <w:p w:rsidR="000F1D69" w:rsidRDefault="00F51827">
            <w:r>
              <w:rPr>
                <w:sz w:val="18"/>
              </w:rPr>
              <w:t>We adopted the recommended Path A. One forward regression (H4) is now verified; ≥3 remain the pre-specified prerequisite before any temporal-generalization claim.</w:t>
            </w:r>
          </w:p>
        </w:tc>
      </w:tr>
      <w:tr w:rsidR="000F1D69" w:rsidTr="00F51827">
        <w:trPr>
          <w:gridAfter w:val="1"/>
          <w:wAfter w:w="2832" w:type="dxa"/>
        </w:trPr>
        <w:tc>
          <w:tcPr>
            <w:tcW w:w="4503" w:type="dxa"/>
          </w:tcPr>
          <w:p w:rsidR="000F1D69" w:rsidRDefault="00F51827">
            <w:r>
              <w:rPr>
                <w:sz w:val="18"/>
              </w:rPr>
              <w:lastRenderedPageBreak/>
              <w:t xml:space="preserve">Build-validate a larger subset of invisible labels (beyond </w:t>
            </w:r>
            <w:r>
              <w:rPr>
                <w:sz w:val="18"/>
              </w:rPr>
              <w:t>H1).</w:t>
            </w:r>
          </w:p>
        </w:tc>
        <w:tc>
          <w:tcPr>
            <w:tcW w:w="1417" w:type="dxa"/>
            <w:shd w:val="clear" w:color="auto" w:fill="FFF2CC"/>
          </w:tcPr>
          <w:p w:rsidR="000F1D69" w:rsidRDefault="00F51827">
            <w:pPr>
              <w:jc w:val="center"/>
            </w:pPr>
            <w:r>
              <w:rPr>
                <w:b/>
                <w:sz w:val="18"/>
              </w:rPr>
              <w:t>Partial</w:t>
            </w:r>
          </w:p>
        </w:tc>
        <w:tc>
          <w:tcPr>
            <w:tcW w:w="4496" w:type="dxa"/>
          </w:tcPr>
          <w:p w:rsidR="000F1D69" w:rsidRDefault="00F51827">
            <w:r>
              <w:rPr>
                <w:sz w:val="18"/>
              </w:rPr>
              <w:t>H1 validated from source; broader build-validation of the mined subset is planned.</w:t>
            </w:r>
          </w:p>
        </w:tc>
      </w:tr>
      <w:tr w:rsidR="000F1D69" w:rsidTr="00F51827">
        <w:trPr>
          <w:gridAfter w:val="1"/>
          <w:wAfter w:w="2832" w:type="dxa"/>
        </w:trPr>
        <w:tc>
          <w:tcPr>
            <w:tcW w:w="4503" w:type="dxa"/>
          </w:tcPr>
          <w:p w:rsidR="000F1D69" w:rsidRDefault="00F51827">
            <w:r>
              <w:rPr>
                <w:sz w:val="18"/>
              </w:rPr>
              <w:t>Run H2 through the property oracle.</w:t>
            </w:r>
          </w:p>
        </w:tc>
        <w:tc>
          <w:tcPr>
            <w:tcW w:w="1417" w:type="dxa"/>
            <w:shd w:val="clear" w:color="auto" w:fill="FFF2CC"/>
          </w:tcPr>
          <w:p w:rsidR="000F1D69" w:rsidRDefault="00F51827">
            <w:pPr>
              <w:jc w:val="center"/>
            </w:pPr>
            <w:r>
              <w:rPr>
                <w:b/>
                <w:sz w:val="18"/>
              </w:rPr>
              <w:t>Attempted</w:t>
            </w:r>
          </w:p>
        </w:tc>
        <w:tc>
          <w:tcPr>
            <w:tcW w:w="4496" w:type="dxa"/>
          </w:tcPr>
          <w:p w:rsidR="000F1D69" w:rsidRDefault="00F51827">
            <w:r>
              <w:rPr>
                <w:sz w:val="18"/>
              </w:rPr>
              <w:t xml:space="preserve">H2 was built and run; it shares H1’s deeper masking (invisible even at the output-contract level), so it is </w:t>
            </w:r>
            <w:r>
              <w:rPr>
                <w:sz w:val="18"/>
              </w:rPr>
              <w:t>recorded as a confirmed-masked contract case rather than a separately-detected event.</w:t>
            </w:r>
          </w:p>
        </w:tc>
      </w:tr>
    </w:tbl>
    <w:p w:rsidR="000F1D69" w:rsidRDefault="000F1D69"/>
    <w:p w:rsidR="000F1D69" w:rsidRDefault="00F51827">
      <w:r>
        <w:t xml:space="preserve">In sum, all four Critical items and every Important and Minor item have been addressed, two of them (the property/layout oracle and the powered mining study) exceeding </w:t>
      </w:r>
      <w:r>
        <w:t>what was requested, and we have added a verified forward-regression event that the original submission lacked. We believe the revised manuscript now leads with its strongest, validated contribution and represents its scope honestly.</w:t>
      </w:r>
    </w:p>
    <w:sectPr w:rsidR="000F1D69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1D69"/>
    <w:rsid w:val="0015074B"/>
    <w:rsid w:val="0029639D"/>
    <w:rsid w:val="00326F90"/>
    <w:rsid w:val="00AA1D8D"/>
    <w:rsid w:val="00B47730"/>
    <w:rsid w:val="00CB0664"/>
    <w:rsid w:val="00F518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3591151-9FC0-455B-8877-071C13FE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82DFD4-0AE1-48F6-986B-06B5ABE1B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1282</Words>
  <Characters>7314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Furqan Nasir</cp:lastModifiedBy>
  <cp:revision>2</cp:revision>
  <dcterms:created xsi:type="dcterms:W3CDTF">2013-12-23T23:15:00Z</dcterms:created>
  <dcterms:modified xsi:type="dcterms:W3CDTF">2026-07-01T22:57:00Z</dcterms:modified>
  <cp:category/>
</cp:coreProperties>
</file>