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5C9E"/>
          <w:sz w:val="40"/>
          <w:szCs w:val="40"/>
        </w:rPr>
        <w:t xml:space="preserve">Magnet Forensics — SDET Interview Prep</w:t>
      </w:r>
    </w:p>
    <w:p>
      <w:pPr>
        <w:spacing w:after="60"/>
        <w:jc w:val="center"/>
      </w:pPr>
      <w:r>
        <w:rPr>
          <w:rFonts w:ascii="Arial" w:cs="Arial" w:eastAsia="Arial" w:hAnsi="Arial"/>
          <w:color w:val="444444"/>
          <w:sz w:val="28"/>
          <w:szCs w:val="28"/>
        </w:rPr>
        <w:t xml:space="preserve">Furqan Malik, CTFL, PMP</w:t>
      </w:r>
    </w:p>
    <w:p>
      <w:pPr>
        <w:spacing w:after="480"/>
        <w:jc w:val="center"/>
      </w:pPr>
      <w:r>
        <w:rPr>
          <w:rFonts w:ascii="Arial" w:cs="Arial" w:eastAsia="Arial" w:hAnsi="Arial"/>
          <w:i/>
          <w:iCs/>
          <w:color w:val="888888"/>
          <w:sz w:val="22"/>
          <w:szCs w:val="22"/>
        </w:rPr>
        <w:t xml:space="preserve">Hiring Manager Round — Prepared STAR Answers &amp; Strategy</w:t>
      </w:r>
    </w:p>
    <w:p>
      <w:pPr>
        <w:pBdr>
          <w:bottom w:val="single" w:color="CCCCCC" w:sz="2" w:space="1"/>
        </w:pBdr>
        <w:spacing w:after="160" w:before="160"/>
      </w:pPr>
    </w:p>
    <w:p>
      <w:pPr>
        <w:pStyle w:val="Heading1"/>
        <w:pBdr>
          <w:bottom w:val="single" w:color="1F5C9E" w:sz="4" w:space="4"/>
        </w:pBdr>
        <w:spacing w:after="120" w:before="360"/>
      </w:pPr>
      <w:r>
        <w:rPr>
          <w:rFonts w:ascii="Arial" w:cs="Arial" w:eastAsia="Arial" w:hAnsi="Arial"/>
          <w:b/>
          <w:bCs/>
          <w:color w:val="1F5C9E"/>
          <w:sz w:val="28"/>
          <w:szCs w:val="28"/>
        </w:rPr>
        <w:t xml:space="preserve">1. Tell Me About Yourself</w:t>
      </w:r>
    </w:p>
    <w:p>
      <w:pPr>
        <w:shd w:fill="FFF8E1" w:val="clear"/>
        <w:spacing w:after="120" w:before="80"/>
        <w:ind w:left="180" w:right="180"/>
      </w:pPr>
      <w:r>
        <w:rPr>
          <w:rFonts w:ascii="Arial" w:cs="Arial" w:eastAsia="Arial" w:hAnsi="Arial"/>
          <w:b/>
          <w:bCs/>
          <w:color w:val="7B5E00"/>
          <w:sz w:val="20"/>
          <w:szCs w:val="20"/>
        </w:rPr>
        <w:t xml:space="preserve">💡 Tip: </w:t>
      </w:r>
      <w:r>
        <w:rPr>
          <w:rFonts w:ascii="Arial" w:cs="Arial" w:eastAsia="Arial" w:hAnsi="Arial"/>
          <w:color w:val="555555"/>
          <w:sz w:val="20"/>
          <w:szCs w:val="20"/>
        </w:rPr>
        <w:t xml:space="preserve">Keep this to 90 seconds. Present → past → future. End with why Magnet.</w:t>
      </w:r>
    </w:p>
    <w:p>
      <w:pPr>
        <w:spacing w:after="80"/>
        <w:ind/>
      </w:pPr>
      <w:r>
        <w:rPr>
          <w:rFonts w:ascii="Arial" w:cs="Arial" w:eastAsia="Arial" w:hAnsi="Arial"/>
          <w:sz w:val="22"/>
          <w:szCs w:val="22"/>
        </w:rPr>
        <w:t xml:space="preserve">"I'm a Senior SDET with over 10 years of experience building automation frameworks and owning end-to-end quality for high-stakes, API-driven platforms — most recently at McAfee here in Waterloo, where I've been for the past 5+ years.</w:t>
      </w:r>
    </w:p>
    <w:p>
      <w:pPr>
        <w:spacing w:after="80"/>
        <w:ind/>
      </w:pPr>
      <w:r>
        <w:rPr>
          <w:rFonts w:ascii="Arial" w:cs="Arial" w:eastAsia="Arial" w:hAnsi="Arial"/>
          <w:sz w:val="22"/>
          <w:szCs w:val="22"/>
        </w:rPr>
        <w:t xml:space="preserve">In that role, I've led quality for consumer security platforms serving millions of users. I architected a Playwright + Python framework that achieves 99% reliability in our CI/CD gates, built AI-assisted agentic workflows that reduced manual triage time by 40%, and worked closely with engineers and PMs to embed quality from story refinement all the way to production monitoring.</w:t>
      </w:r>
    </w:p>
    <w:p>
      <w:pPr>
        <w:spacing w:after="80"/>
        <w:ind/>
      </w:pPr>
      <w:r>
        <w:rPr>
          <w:rFonts w:ascii="Arial" w:cs="Arial" w:eastAsia="Arial" w:hAnsi="Arial"/>
          <w:sz w:val="22"/>
          <w:szCs w:val="22"/>
        </w:rPr>
        <w:t xml:space="preserve">I'm also nearing completion of my ISTQB Generative AI certification, so agentic and LLM-assisted testing is an area I've been investing in deeply.</w:t>
      </w:r>
    </w:p>
    <w:p>
      <w:pPr>
        <w:spacing w:after="80"/>
        <w:ind/>
      </w:pPr>
      <w:r>
        <w:rPr>
          <w:rFonts w:ascii="Arial" w:cs="Arial" w:eastAsia="Arial" w:hAnsi="Arial"/>
          <w:sz w:val="22"/>
          <w:szCs w:val="22"/>
        </w:rPr>
        <w:t xml:space="preserve">What draws me to Magnet is the combination of meaningful mission — software that helps investigators fight real crime — and the technical depth the SDET role requires. My background in security software quality maps directly, and I'm excited to bring my agentic testing experience to a team that's actively building in that direction."</w:t>
      </w:r>
    </w:p>
    <w:p>
      <w:pPr>
        <w:pBdr>
          <w:bottom w:val="single" w:color="CCCCCC" w:sz="2" w:space="1"/>
        </w:pBdr>
        <w:spacing w:after="160" w:before="160"/>
      </w:pPr>
    </w:p>
    <w:p>
      <w:pPr>
        <w:pStyle w:val="Heading1"/>
        <w:pBdr>
          <w:bottom w:val="single" w:color="1F5C9E" w:sz="4" w:space="4"/>
        </w:pBdr>
        <w:spacing w:after="120" w:before="360"/>
      </w:pPr>
      <w:r>
        <w:rPr>
          <w:rFonts w:ascii="Arial" w:cs="Arial" w:eastAsia="Arial" w:hAnsi="Arial"/>
          <w:b/>
          <w:bCs/>
          <w:color w:val="1F5C9E"/>
          <w:sz w:val="28"/>
          <w:szCs w:val="28"/>
        </w:rPr>
        <w:t xml:space="preserve">2. Behavioral Questions (STAR Format)</w:t>
      </w:r>
    </w:p>
    <w:p>
      <w:pPr>
        <w:pStyle w:val="Heading2"/>
        <w:spacing w:after="80" w:before="280"/>
      </w:pPr>
      <w:r>
        <w:rPr>
          <w:rFonts w:ascii="Arial" w:cs="Arial" w:eastAsia="Arial" w:hAnsi="Arial"/>
          <w:b/>
          <w:bCs/>
          <w:color w:val="222222"/>
          <w:sz w:val="24"/>
          <w:szCs w:val="24"/>
        </w:rPr>
        <w:t xml:space="preserve">Q: Tell me about a time you owned quality end-to-end for a feature or service.</w:t>
      </w:r>
    </w:p>
    <w:p>
      <w:pPr>
        <w:shd w:fill="FFF8E1" w:val="clear"/>
        <w:spacing w:after="120" w:before="80"/>
        <w:ind w:left="180" w:right="180"/>
      </w:pPr>
      <w:r>
        <w:rPr>
          <w:rFonts w:ascii="Arial" w:cs="Arial" w:eastAsia="Arial" w:hAnsi="Arial"/>
          <w:b/>
          <w:bCs/>
          <w:color w:val="7B5E00"/>
          <w:sz w:val="20"/>
          <w:szCs w:val="20"/>
        </w:rPr>
        <w:t xml:space="preserve">💡 Tip: </w:t>
      </w:r>
      <w:r>
        <w:rPr>
          <w:rFonts w:ascii="Arial" w:cs="Arial" w:eastAsia="Arial" w:hAnsi="Arial"/>
          <w:color w:val="555555"/>
          <w:sz w:val="20"/>
          <w:szCs w:val="20"/>
        </w:rPr>
        <w:t xml:space="preserve">This is the core JD question — 'Own quality for assigned features, services, or components.' Use your McAfee platform ownership story.</w:t>
      </w:r>
    </w:p>
    <w:p>
      <w:pPr>
        <w:pStyle w:val="ListParagraph"/>
        <w:numPr>
          <w:ilvl w:val="0"/>
          <w:numId w:val="2"/>
        </w:numPr>
        <w:spacing w:after="80"/>
      </w:pPr>
      <w:r>
        <w:rPr>
          <w:rFonts w:ascii="Arial" w:cs="Arial" w:eastAsia="Arial" w:hAnsi="Arial"/>
          <w:b/>
          <w:bCs/>
          <w:color w:val="1F5C9E"/>
          <w:sz w:val="22"/>
          <w:szCs w:val="22"/>
        </w:rPr>
        <w:t xml:space="preserve">Situation: </w:t>
      </w:r>
      <w:r>
        <w:rPr>
          <w:rFonts w:ascii="Arial" w:cs="Arial" w:eastAsia="Arial" w:hAnsi="Arial"/>
          <w:sz w:val="22"/>
          <w:szCs w:val="22"/>
        </w:rPr>
        <w:t xml:space="preserve">At McAfee, I was the sole SDET responsible for quality on the sadownload.mcafee.com platform — the download and delivery system for consumer security products used by millions of users globally. The platform included multiple backend microservices, an API layer, and a consumer-facing UI.</w:t>
      </w:r>
    </w:p>
    <w:p>
      <w:pPr>
        <w:pStyle w:val="ListParagraph"/>
        <w:numPr>
          <w:ilvl w:val="0"/>
          <w:numId w:val="2"/>
        </w:numPr>
        <w:spacing w:after="80"/>
      </w:pPr>
      <w:r>
        <w:rPr>
          <w:rFonts w:ascii="Arial" w:cs="Arial" w:eastAsia="Arial" w:hAnsi="Arial"/>
          <w:b/>
          <w:bCs/>
          <w:color w:val="1F5C9E"/>
          <w:sz w:val="22"/>
          <w:szCs w:val="22"/>
        </w:rPr>
        <w:t xml:space="preserve">Task: </w:t>
      </w:r>
      <w:r>
        <w:rPr>
          <w:rFonts w:ascii="Arial" w:cs="Arial" w:eastAsia="Arial" w:hAnsi="Arial"/>
          <w:sz w:val="22"/>
          <w:szCs w:val="22"/>
        </w:rPr>
        <w:t xml:space="preserve">My goal was to design and execute a complete quality strategy — from test design through CI/CD integration — that could support a high-velocity release cadence without compromising data integrity or user experience.</w:t>
      </w:r>
    </w:p>
    <w:p>
      <w:pPr>
        <w:pStyle w:val="ListParagraph"/>
        <w:numPr>
          <w:ilvl w:val="0"/>
          <w:numId w:val="2"/>
        </w:numPr>
        <w:spacing w:after="80"/>
      </w:pPr>
      <w:r>
        <w:rPr>
          <w:rFonts w:ascii="Arial" w:cs="Arial" w:eastAsia="Arial" w:hAnsi="Arial"/>
          <w:b/>
          <w:bCs/>
          <w:color w:val="1F5C9E"/>
          <w:sz w:val="22"/>
          <w:szCs w:val="22"/>
        </w:rPr>
        <w:t xml:space="preserve">Action: </w:t>
      </w:r>
      <w:r>
        <w:rPr>
          <w:rFonts w:ascii="Arial" w:cs="Arial" w:eastAsia="Arial" w:hAnsi="Arial"/>
          <w:sz w:val="22"/>
          <w:szCs w:val="22"/>
        </w:rPr>
        <w:t xml:space="preserve">I started by running a risk-based analysis: identified the highest-impact flows (download integrity, entitlement checks, installer delivery), then built coverage across API, UI, and integration layers using Playwright and Python. I integrated all tests into our Jenkins CI/CD pipeline with automated quality gates. I set up Grafana dashboards to monitor pipeline health and flakiness trends in real time, and participated in every sprint refinement to define acceptance criteria upfront with engineers and PMs.</w:t>
      </w:r>
    </w:p>
    <w:p>
      <w:pPr>
        <w:pStyle w:val="ListParagraph"/>
        <w:numPr>
          <w:ilvl w:val="0"/>
          <w:numId w:val="2"/>
        </w:numPr>
        <w:spacing w:after="80"/>
      </w:pPr>
      <w:r>
        <w:rPr>
          <w:rFonts w:ascii="Arial" w:cs="Arial" w:eastAsia="Arial" w:hAnsi="Arial"/>
          <w:b/>
          <w:bCs/>
          <w:color w:val="1F5C9E"/>
          <w:sz w:val="22"/>
          <w:szCs w:val="22"/>
        </w:rPr>
        <w:t xml:space="preserve">Result: </w:t>
      </w:r>
      <w:r>
        <w:rPr>
          <w:rFonts w:ascii="Arial" w:cs="Arial" w:eastAsia="Arial" w:hAnsi="Arial"/>
          <w:sz w:val="22"/>
          <w:szCs w:val="22"/>
        </w:rPr>
        <w:t xml:space="preserve">We achieved 99% reliability on CI/CD quality gates across dozens of weekly releases. Flaky test incidents dropped significantly, and the team's go/no-go decisions became data-driven rather than gut-based. I also introduced anomaly detection to flag non-deterministic behavior before it reached production.</w:t>
      </w:r>
    </w:p>
    <w:p>
      <w:pPr>
        <w:pBdr>
          <w:bottom w:val="single" w:color="CCCCCC" w:sz="2" w:space="1"/>
        </w:pBdr>
        <w:spacing w:after="160" w:before="160"/>
      </w:pPr>
    </w:p>
    <w:p>
      <w:pPr>
        <w:pStyle w:val="Heading2"/>
        <w:spacing w:after="80" w:before="280"/>
      </w:pPr>
      <w:r>
        <w:rPr>
          <w:rFonts w:ascii="Arial" w:cs="Arial" w:eastAsia="Arial" w:hAnsi="Arial"/>
          <w:b/>
          <w:bCs/>
          <w:color w:val="222222"/>
          <w:sz w:val="24"/>
          <w:szCs w:val="24"/>
        </w:rPr>
        <w:t xml:space="preserve">Q: Describe a time you raised a quality concern early that others hadn't noticed.</w:t>
      </w:r>
    </w:p>
    <w:p>
      <w:pPr>
        <w:shd w:fill="FFF8E1" w:val="clear"/>
        <w:spacing w:after="120" w:before="80"/>
        <w:ind w:left="180" w:right="180"/>
      </w:pPr>
      <w:r>
        <w:rPr>
          <w:rFonts w:ascii="Arial" w:cs="Arial" w:eastAsia="Arial" w:hAnsi="Arial"/>
          <w:b/>
          <w:bCs/>
          <w:color w:val="7B5E00"/>
          <w:sz w:val="20"/>
          <w:szCs w:val="20"/>
        </w:rPr>
        <w:t xml:space="preserve">💡 Tip: </w:t>
      </w:r>
      <w:r>
        <w:rPr>
          <w:rFonts w:ascii="Arial" w:cs="Arial" w:eastAsia="Arial" w:hAnsi="Arial"/>
          <w:color w:val="555555"/>
          <w:sz w:val="20"/>
          <w:szCs w:val="20"/>
        </w:rPr>
        <w:t xml:space="preserve">JD: 'Raise quality risks early with context and evidence.' Shows proactive, shift-left thinking.</w:t>
      </w:r>
    </w:p>
    <w:p>
      <w:pPr>
        <w:pStyle w:val="ListParagraph"/>
        <w:numPr>
          <w:ilvl w:val="0"/>
          <w:numId w:val="2"/>
        </w:numPr>
        <w:spacing w:after="80"/>
      </w:pPr>
      <w:r>
        <w:rPr>
          <w:rFonts w:ascii="Arial" w:cs="Arial" w:eastAsia="Arial" w:hAnsi="Arial"/>
          <w:b/>
          <w:bCs/>
          <w:color w:val="1F5C9E"/>
          <w:sz w:val="22"/>
          <w:szCs w:val="22"/>
        </w:rPr>
        <w:t xml:space="preserve">Situation: </w:t>
      </w:r>
      <w:r>
        <w:rPr>
          <w:rFonts w:ascii="Arial" w:cs="Arial" w:eastAsia="Arial" w:hAnsi="Arial"/>
          <w:sz w:val="22"/>
          <w:szCs w:val="22"/>
        </w:rPr>
        <w:t xml:space="preserve">During a sprint at McAfee, the team was working on a new data analytics feature in one of our backend security microservices. The implementation looked straightforward on the surface — a new aggregation endpoint.</w:t>
      </w:r>
    </w:p>
    <w:p>
      <w:pPr>
        <w:pStyle w:val="ListParagraph"/>
        <w:numPr>
          <w:ilvl w:val="0"/>
          <w:numId w:val="2"/>
        </w:numPr>
        <w:spacing w:after="80"/>
      </w:pPr>
      <w:r>
        <w:rPr>
          <w:rFonts w:ascii="Arial" w:cs="Arial" w:eastAsia="Arial" w:hAnsi="Arial"/>
          <w:b/>
          <w:bCs/>
          <w:color w:val="1F5C9E"/>
          <w:sz w:val="22"/>
          <w:szCs w:val="22"/>
        </w:rPr>
        <w:t xml:space="preserve">Task: </w:t>
      </w:r>
      <w:r>
        <w:rPr>
          <w:rFonts w:ascii="Arial" w:cs="Arial" w:eastAsia="Arial" w:hAnsi="Arial"/>
          <w:sz w:val="22"/>
          <w:szCs w:val="22"/>
        </w:rPr>
        <w:t xml:space="preserve">While reviewing the design in refinement, I noticed the endpoint was expected to process variable-volume data from multiple sources, and the acceptance criteria didn't account for non-deterministic ordering in the response payload — something that would cause intermittent test failures and, more importantly, subtle data integrity issues for downstream consumers.</w:t>
      </w:r>
    </w:p>
    <w:p>
      <w:pPr>
        <w:pStyle w:val="ListParagraph"/>
        <w:numPr>
          <w:ilvl w:val="0"/>
          <w:numId w:val="2"/>
        </w:numPr>
        <w:spacing w:after="80"/>
      </w:pPr>
      <w:r>
        <w:rPr>
          <w:rFonts w:ascii="Arial" w:cs="Arial" w:eastAsia="Arial" w:hAnsi="Arial"/>
          <w:b/>
          <w:bCs/>
          <w:color w:val="1F5C9E"/>
          <w:sz w:val="22"/>
          <w:szCs w:val="22"/>
        </w:rPr>
        <w:t xml:space="preserve">Action: </w:t>
      </w:r>
      <w:r>
        <w:rPr>
          <w:rFonts w:ascii="Arial" w:cs="Arial" w:eastAsia="Arial" w:hAnsi="Arial"/>
          <w:sz w:val="22"/>
          <w:szCs w:val="22"/>
        </w:rPr>
        <w:t xml:space="preserve">I flagged the issue in the design discussion with supporting evidence: I built a quick proof-of-concept test showing the non-deterministic behavior under concurrent load. I proposed adding a deterministic sort key to the response contract and created a contract test to enforce it. I documented the risk in Jira and linked it to the story before any code was written.</w:t>
      </w:r>
    </w:p>
    <w:p>
      <w:pPr>
        <w:pStyle w:val="ListParagraph"/>
        <w:numPr>
          <w:ilvl w:val="0"/>
          <w:numId w:val="2"/>
        </w:numPr>
        <w:spacing w:after="80"/>
      </w:pPr>
      <w:r>
        <w:rPr>
          <w:rFonts w:ascii="Arial" w:cs="Arial" w:eastAsia="Arial" w:hAnsi="Arial"/>
          <w:b/>
          <w:bCs/>
          <w:color w:val="1F5C9E"/>
          <w:sz w:val="22"/>
          <w:szCs w:val="22"/>
        </w:rPr>
        <w:t xml:space="preserve">Result: </w:t>
      </w:r>
      <w:r>
        <w:rPr>
          <w:rFonts w:ascii="Arial" w:cs="Arial" w:eastAsia="Arial" w:hAnsi="Arial"/>
          <w:sz w:val="22"/>
          <w:szCs w:val="22"/>
        </w:rPr>
        <w:t xml:space="preserve">The team adopted the fix in the sprint — zero rework after implementation. The contract test became part of our standard API coverage pattern, and the approach was adopted by two other squads. It's now part of our pre-commit checklist for new endpoints.</w:t>
      </w:r>
    </w:p>
    <w:p>
      <w:pPr>
        <w:pBdr>
          <w:bottom w:val="single" w:color="CCCCCC" w:sz="2" w:space="1"/>
        </w:pBdr>
        <w:spacing w:after="160" w:before="160"/>
      </w:pPr>
    </w:p>
    <w:p>
      <w:pPr>
        <w:pStyle w:val="Heading2"/>
        <w:spacing w:after="80" w:before="280"/>
      </w:pPr>
      <w:r>
        <w:rPr>
          <w:rFonts w:ascii="Arial" w:cs="Arial" w:eastAsia="Arial" w:hAnsi="Arial"/>
          <w:b/>
          <w:bCs/>
          <w:color w:val="222222"/>
          <w:sz w:val="24"/>
          <w:szCs w:val="24"/>
        </w:rPr>
        <w:t xml:space="preserve">Q: Tell me about a time you had to accept a quality trade-off. How did you handle it?</w:t>
      </w:r>
    </w:p>
    <w:p>
      <w:pPr>
        <w:shd w:fill="FFF8E1" w:val="clear"/>
        <w:spacing w:after="120" w:before="80"/>
        <w:ind w:left="180" w:right="180"/>
      </w:pPr>
      <w:r>
        <w:rPr>
          <w:rFonts w:ascii="Arial" w:cs="Arial" w:eastAsia="Arial" w:hAnsi="Arial"/>
          <w:b/>
          <w:bCs/>
          <w:color w:val="7B5E00"/>
          <w:sz w:val="20"/>
          <w:szCs w:val="20"/>
        </w:rPr>
        <w:t xml:space="preserve">💡 Tip: </w:t>
      </w:r>
      <w:r>
        <w:rPr>
          <w:rFonts w:ascii="Arial" w:cs="Arial" w:eastAsia="Arial" w:hAnsi="Arial"/>
          <w:color w:val="555555"/>
          <w:sz w:val="20"/>
          <w:szCs w:val="20"/>
        </w:rPr>
        <w:t xml:space="preserve">JD explicitly asks for this. Shows maturity and business judgment, not just technical perfectionism.</w:t>
      </w:r>
    </w:p>
    <w:p>
      <w:pPr>
        <w:pStyle w:val="ListParagraph"/>
        <w:numPr>
          <w:ilvl w:val="0"/>
          <w:numId w:val="2"/>
        </w:numPr>
        <w:spacing w:after="80"/>
      </w:pPr>
      <w:r>
        <w:rPr>
          <w:rFonts w:ascii="Arial" w:cs="Arial" w:eastAsia="Arial" w:hAnsi="Arial"/>
          <w:b/>
          <w:bCs/>
          <w:color w:val="1F5C9E"/>
          <w:sz w:val="22"/>
          <w:szCs w:val="22"/>
        </w:rPr>
        <w:t xml:space="preserve">Situation: </w:t>
      </w:r>
      <w:r>
        <w:rPr>
          <w:rFonts w:ascii="Arial" w:cs="Arial" w:eastAsia="Arial" w:hAnsi="Arial"/>
          <w:sz w:val="22"/>
          <w:szCs w:val="22"/>
        </w:rPr>
        <w:t xml:space="preserve">During a time-sensitive security patch release at McAfee, we had a regression in a lower-priority UI flow that wasn't directly related to the patch scope. Full test coverage would have delayed the release by two days.</w:t>
      </w:r>
    </w:p>
    <w:p>
      <w:pPr>
        <w:pStyle w:val="ListParagraph"/>
        <w:numPr>
          <w:ilvl w:val="0"/>
          <w:numId w:val="2"/>
        </w:numPr>
        <w:spacing w:after="80"/>
      </w:pPr>
      <w:r>
        <w:rPr>
          <w:rFonts w:ascii="Arial" w:cs="Arial" w:eastAsia="Arial" w:hAnsi="Arial"/>
          <w:b/>
          <w:bCs/>
          <w:color w:val="1F5C9E"/>
          <w:sz w:val="22"/>
          <w:szCs w:val="22"/>
        </w:rPr>
        <w:t xml:space="preserve">Task: </w:t>
      </w:r>
      <w:r>
        <w:rPr>
          <w:rFonts w:ascii="Arial" w:cs="Arial" w:eastAsia="Arial" w:hAnsi="Arial"/>
          <w:sz w:val="22"/>
          <w:szCs w:val="22"/>
        </w:rPr>
        <w:t xml:space="preserve">I needed to make a recommendation to the team: delay the release for full coverage, or ship with a documented risk.</w:t>
      </w:r>
    </w:p>
    <w:p>
      <w:pPr>
        <w:pStyle w:val="ListParagraph"/>
        <w:numPr>
          <w:ilvl w:val="0"/>
          <w:numId w:val="2"/>
        </w:numPr>
        <w:spacing w:after="80"/>
      </w:pPr>
      <w:r>
        <w:rPr>
          <w:rFonts w:ascii="Arial" w:cs="Arial" w:eastAsia="Arial" w:hAnsi="Arial"/>
          <w:b/>
          <w:bCs/>
          <w:color w:val="1F5C9E"/>
          <w:sz w:val="22"/>
          <w:szCs w:val="22"/>
        </w:rPr>
        <w:t xml:space="preserve">Action: </w:t>
      </w:r>
      <w:r>
        <w:rPr>
          <w:rFonts w:ascii="Arial" w:cs="Arial" w:eastAsia="Arial" w:hAnsi="Arial"/>
          <w:sz w:val="22"/>
          <w:szCs w:val="22"/>
        </w:rPr>
        <w:t xml:space="preserve">I assessed the risk using a structured approach — blast radius of the regression (low, affecting a secondary UI state that &lt;2% of users hit), exploitability in the context of the security fix (none — unrelated code paths), and the cost of delay (significant — security patches have SLA commitments). I documented my analysis clearly, proposed a mitigated path: ship the patch, flag the regression in a tracked hotfix story, and add synthetic monitoring on the affected flow as a safety net.</w:t>
      </w:r>
    </w:p>
    <w:p>
      <w:pPr>
        <w:pStyle w:val="ListParagraph"/>
        <w:numPr>
          <w:ilvl w:val="0"/>
          <w:numId w:val="2"/>
        </w:numPr>
        <w:spacing w:after="80"/>
      </w:pPr>
      <w:r>
        <w:rPr>
          <w:rFonts w:ascii="Arial" w:cs="Arial" w:eastAsia="Arial" w:hAnsi="Arial"/>
          <w:b/>
          <w:bCs/>
          <w:color w:val="1F5C9E"/>
          <w:sz w:val="22"/>
          <w:szCs w:val="22"/>
        </w:rPr>
        <w:t xml:space="preserve">Result: </w:t>
      </w:r>
      <w:r>
        <w:rPr>
          <w:rFonts w:ascii="Arial" w:cs="Arial" w:eastAsia="Arial" w:hAnsi="Arial"/>
          <w:sz w:val="22"/>
          <w:szCs w:val="22"/>
        </w:rPr>
        <w:t xml:space="preserve">The release went out on time, the security fix hit its SLA, and the UI regression was resolved in a follow-up sprint with no customer impact. The process I used — risk framing with documented rationale — became our standard go/no-go template for time-sensitive releases.</w:t>
      </w:r>
    </w:p>
    <w:p>
      <w:pPr>
        <w:pBdr>
          <w:bottom w:val="single" w:color="CCCCCC" w:sz="2" w:space="1"/>
        </w:pBdr>
        <w:spacing w:after="160" w:before="160"/>
      </w:pPr>
    </w:p>
    <w:p>
      <w:pPr>
        <w:pStyle w:val="Heading2"/>
        <w:spacing w:after="80" w:before="280"/>
      </w:pPr>
      <w:r>
        <w:rPr>
          <w:rFonts w:ascii="Arial" w:cs="Arial" w:eastAsia="Arial" w:hAnsi="Arial"/>
          <w:b/>
          <w:bCs/>
          <w:color w:val="222222"/>
          <w:sz w:val="24"/>
          <w:szCs w:val="24"/>
        </w:rPr>
        <w:t xml:space="preserve">Q: How do you work with engineers to improve testability?</w:t>
      </w:r>
    </w:p>
    <w:p>
      <w:pPr>
        <w:shd w:fill="FFF8E1" w:val="clear"/>
        <w:spacing w:after="120" w:before="80"/>
        <w:ind w:left="180" w:right="180"/>
      </w:pPr>
      <w:r>
        <w:rPr>
          <w:rFonts w:ascii="Arial" w:cs="Arial" w:eastAsia="Arial" w:hAnsi="Arial"/>
          <w:b/>
          <w:bCs/>
          <w:color w:val="7B5E00"/>
          <w:sz w:val="20"/>
          <w:szCs w:val="20"/>
        </w:rPr>
        <w:t xml:space="preserve">💡 Tip: </w:t>
      </w:r>
      <w:r>
        <w:rPr>
          <w:rFonts w:ascii="Arial" w:cs="Arial" w:eastAsia="Arial" w:hAnsi="Arial"/>
          <w:color w:val="555555"/>
          <w:sz w:val="20"/>
          <w:szCs w:val="20"/>
        </w:rPr>
        <w:t xml:space="preserve">JD: 'Partner with software engineers to improve testability and design.' Shows cross-functional influence.</w:t>
      </w:r>
    </w:p>
    <w:p>
      <w:pPr>
        <w:pStyle w:val="ListParagraph"/>
        <w:numPr>
          <w:ilvl w:val="0"/>
          <w:numId w:val="2"/>
        </w:numPr>
        <w:spacing w:after="80"/>
      </w:pPr>
      <w:r>
        <w:rPr>
          <w:rFonts w:ascii="Arial" w:cs="Arial" w:eastAsia="Arial" w:hAnsi="Arial"/>
          <w:b/>
          <w:bCs/>
          <w:color w:val="1F5C9E"/>
          <w:sz w:val="22"/>
          <w:szCs w:val="22"/>
        </w:rPr>
        <w:t xml:space="preserve">Situation: </w:t>
      </w:r>
      <w:r>
        <w:rPr>
          <w:rFonts w:ascii="Arial" w:cs="Arial" w:eastAsia="Arial" w:hAnsi="Arial"/>
          <w:sz w:val="22"/>
          <w:szCs w:val="22"/>
        </w:rPr>
        <w:t xml:space="preserve">At McAfee, several backend microservices were designed without testability in mind — deep dependencies, no contract definitions, and state that was hard to set up or tear down in tests. This was causing flaky, slow integration tests.</w:t>
      </w:r>
    </w:p>
    <w:p>
      <w:pPr>
        <w:pStyle w:val="ListParagraph"/>
        <w:numPr>
          <w:ilvl w:val="0"/>
          <w:numId w:val="2"/>
        </w:numPr>
        <w:spacing w:after="80"/>
      </w:pPr>
      <w:r>
        <w:rPr>
          <w:rFonts w:ascii="Arial" w:cs="Arial" w:eastAsia="Arial" w:hAnsi="Arial"/>
          <w:b/>
          <w:bCs/>
          <w:color w:val="1F5C9E"/>
          <w:sz w:val="22"/>
          <w:szCs w:val="22"/>
        </w:rPr>
        <w:t xml:space="preserve">Task: </w:t>
      </w:r>
      <w:r>
        <w:rPr>
          <w:rFonts w:ascii="Arial" w:cs="Arial" w:eastAsia="Arial" w:hAnsi="Arial"/>
          <w:sz w:val="22"/>
          <w:szCs w:val="22"/>
        </w:rPr>
        <w:t xml:space="preserve">I wanted to improve testability without blocking engineers or requiring major rework.</w:t>
      </w:r>
    </w:p>
    <w:p>
      <w:pPr>
        <w:pStyle w:val="ListParagraph"/>
        <w:numPr>
          <w:ilvl w:val="0"/>
          <w:numId w:val="2"/>
        </w:numPr>
        <w:spacing w:after="80"/>
      </w:pPr>
      <w:r>
        <w:rPr>
          <w:rFonts w:ascii="Arial" w:cs="Arial" w:eastAsia="Arial" w:hAnsi="Arial"/>
          <w:b/>
          <w:bCs/>
          <w:color w:val="1F5C9E"/>
          <w:sz w:val="22"/>
          <w:szCs w:val="22"/>
        </w:rPr>
        <w:t xml:space="preserve">Action: </w:t>
      </w:r>
      <w:r>
        <w:rPr>
          <w:rFonts w:ascii="Arial" w:cs="Arial" w:eastAsia="Arial" w:hAnsi="Arial"/>
          <w:sz w:val="22"/>
          <w:szCs w:val="22"/>
        </w:rPr>
        <w:t xml:space="preserve">I embedded myself in story refinement sessions and started raising testability as a design concern alongside functional requirements. I introduced the concept of consumer-driven contract tests — showing engineers how defining a response contract upfront made both their code and my tests simpler. I also ran a short lunch-and-learn on dependency injection patterns that make services easier to test in isolation. For three services, I paired directly with engineers during implementation to add test hooks and improve observability.</w:t>
      </w:r>
    </w:p>
    <w:p>
      <w:pPr>
        <w:pStyle w:val="ListParagraph"/>
        <w:numPr>
          <w:ilvl w:val="0"/>
          <w:numId w:val="2"/>
        </w:numPr>
        <w:spacing w:after="80"/>
      </w:pPr>
      <w:r>
        <w:rPr>
          <w:rFonts w:ascii="Arial" w:cs="Arial" w:eastAsia="Arial" w:hAnsi="Arial"/>
          <w:b/>
          <w:bCs/>
          <w:color w:val="1F5C9E"/>
          <w:sz w:val="22"/>
          <w:szCs w:val="22"/>
        </w:rPr>
        <w:t xml:space="preserve">Result: </w:t>
      </w:r>
      <w:r>
        <w:rPr>
          <w:rFonts w:ascii="Arial" w:cs="Arial" w:eastAsia="Arial" w:hAnsi="Arial"/>
          <w:sz w:val="22"/>
          <w:szCs w:val="22"/>
        </w:rPr>
        <w:t xml:space="preserve">Test execution time dropped by 30% for the services we refactored. Flakiness on those services went to near-zero. The contract testing pattern was adopted across three squads and is now part of our definition of ready for new services.</w:t>
      </w:r>
    </w:p>
    <w:p>
      <w:pPr>
        <w:pBdr>
          <w:bottom w:val="single" w:color="CCCCCC" w:sz="2" w:space="1"/>
        </w:pBdr>
        <w:spacing w:after="160" w:before="160"/>
      </w:pPr>
    </w:p>
    <w:p>
      <w:pPr>
        <w:pStyle w:val="Heading2"/>
        <w:spacing w:after="80" w:before="280"/>
      </w:pPr>
      <w:r>
        <w:rPr>
          <w:rFonts w:ascii="Arial" w:cs="Arial" w:eastAsia="Arial" w:hAnsi="Arial"/>
          <w:b/>
          <w:bCs/>
          <w:color w:val="222222"/>
          <w:sz w:val="24"/>
          <w:szCs w:val="24"/>
        </w:rPr>
        <w:t xml:space="preserve">Q: What is the most innovative thing you've done in quality engineering recently?</w:t>
      </w:r>
    </w:p>
    <w:p>
      <w:pPr>
        <w:shd w:fill="FFF8E1" w:val="clear"/>
        <w:spacing w:after="120" w:before="80"/>
        <w:ind w:left="180" w:right="180"/>
      </w:pPr>
      <w:r>
        <w:rPr>
          <w:rFonts w:ascii="Arial" w:cs="Arial" w:eastAsia="Arial" w:hAnsi="Arial"/>
          <w:b/>
          <w:bCs/>
          <w:color w:val="7B5E00"/>
          <w:sz w:val="20"/>
          <w:szCs w:val="20"/>
        </w:rPr>
        <w:t xml:space="preserve">💡 Tip: </w:t>
      </w:r>
      <w:r>
        <w:rPr>
          <w:rFonts w:ascii="Arial" w:cs="Arial" w:eastAsia="Arial" w:hAnsi="Arial"/>
          <w:color w:val="555555"/>
          <w:sz w:val="20"/>
          <w:szCs w:val="20"/>
        </w:rPr>
        <w:t xml:space="preserve">This is your EVOLVE story — and your biggest differentiator. Be specific and confident.</w:t>
      </w:r>
    </w:p>
    <w:p>
      <w:pPr>
        <w:pStyle w:val="ListParagraph"/>
        <w:numPr>
          <w:ilvl w:val="0"/>
          <w:numId w:val="2"/>
        </w:numPr>
        <w:spacing w:after="80"/>
      </w:pPr>
      <w:r>
        <w:rPr>
          <w:rFonts w:ascii="Arial" w:cs="Arial" w:eastAsia="Arial" w:hAnsi="Arial"/>
          <w:b/>
          <w:bCs/>
          <w:color w:val="1F5C9E"/>
          <w:sz w:val="22"/>
          <w:szCs w:val="22"/>
        </w:rPr>
        <w:t xml:space="preserve">Situation: </w:t>
      </w:r>
      <w:r>
        <w:rPr>
          <w:rFonts w:ascii="Arial" w:cs="Arial" w:eastAsia="Arial" w:hAnsi="Arial"/>
          <w:sz w:val="22"/>
          <w:szCs w:val="22"/>
        </w:rPr>
        <w:t xml:space="preserve">Our CI/CD pipeline at McAfee was generating hundreds of test failures per week across a large automation suite. Triaging failures — distinguishing real regressions from environment noise, infrastructure blips, and known flakiness — was consuming hours of engineering time every sprint.</w:t>
      </w:r>
    </w:p>
    <w:p>
      <w:pPr>
        <w:pStyle w:val="ListParagraph"/>
        <w:numPr>
          <w:ilvl w:val="0"/>
          <w:numId w:val="2"/>
        </w:numPr>
        <w:spacing w:after="80"/>
      </w:pPr>
      <w:r>
        <w:rPr>
          <w:rFonts w:ascii="Arial" w:cs="Arial" w:eastAsia="Arial" w:hAnsi="Arial"/>
          <w:b/>
          <w:bCs/>
          <w:color w:val="1F5C9E"/>
          <w:sz w:val="22"/>
          <w:szCs w:val="22"/>
        </w:rPr>
        <w:t xml:space="preserve">Task: </w:t>
      </w:r>
      <w:r>
        <w:rPr>
          <w:rFonts w:ascii="Arial" w:cs="Arial" w:eastAsia="Arial" w:hAnsi="Arial"/>
          <w:sz w:val="22"/>
          <w:szCs w:val="22"/>
        </w:rPr>
        <w:t xml:space="preserve">I wanted to reduce that triage overhead without sacrificing signal quality — we needed engineers to trust the pipeline, not tune it out.</w:t>
      </w:r>
    </w:p>
    <w:p>
      <w:pPr>
        <w:pStyle w:val="ListParagraph"/>
        <w:numPr>
          <w:ilvl w:val="0"/>
          <w:numId w:val="2"/>
        </w:numPr>
        <w:spacing w:after="80"/>
      </w:pPr>
      <w:r>
        <w:rPr>
          <w:rFonts w:ascii="Arial" w:cs="Arial" w:eastAsia="Arial" w:hAnsi="Arial"/>
          <w:b/>
          <w:bCs/>
          <w:color w:val="1F5C9E"/>
          <w:sz w:val="22"/>
          <w:szCs w:val="22"/>
        </w:rPr>
        <w:t xml:space="preserve">Action: </w:t>
      </w:r>
      <w:r>
        <w:rPr>
          <w:rFonts w:ascii="Arial" w:cs="Arial" w:eastAsia="Arial" w:hAnsi="Arial"/>
          <w:sz w:val="22"/>
          <w:szCs w:val="22"/>
        </w:rPr>
        <w:t xml:space="preserve">I built an AI-assisted agentic workflow that used an LLM to cluster test failures by root cause similarity. The system ingested failure logs, stack traces, and historical patterns, then grouped failures into clusters with suggested root cause labels (e.g., 'environment connectivity', 'data setup race condition', 'known flaky assertion'). I also added self-healing scripts that could automatically retry and quarantine known-flaky tests based on pattern confidence scores. The whole system was integrated into our Jenkins pipeline and surfaced results in Grafana.</w:t>
      </w:r>
    </w:p>
    <w:p>
      <w:pPr>
        <w:pStyle w:val="ListParagraph"/>
        <w:numPr>
          <w:ilvl w:val="0"/>
          <w:numId w:val="2"/>
        </w:numPr>
        <w:spacing w:after="80"/>
      </w:pPr>
      <w:r>
        <w:rPr>
          <w:rFonts w:ascii="Arial" w:cs="Arial" w:eastAsia="Arial" w:hAnsi="Arial"/>
          <w:b/>
          <w:bCs/>
          <w:color w:val="1F5C9E"/>
          <w:sz w:val="22"/>
          <w:szCs w:val="22"/>
        </w:rPr>
        <w:t xml:space="preserve">Result: </w:t>
      </w:r>
      <w:r>
        <w:rPr>
          <w:rFonts w:ascii="Arial" w:cs="Arial" w:eastAsia="Arial" w:hAnsi="Arial"/>
          <w:sz w:val="22"/>
          <w:szCs w:val="22"/>
        </w:rPr>
        <w:t xml:space="preserve">Manual triage time dropped by 40%. Engineers stopped ignoring pipeline failures because the signal-to-noise ratio was dramatically better. It also surfaced two latent infrastructure issues we hadn't noticed — they'd been hiding in the noise for months.</w:t>
      </w:r>
    </w:p>
    <w:p>
      <w:pPr>
        <w:pBdr>
          <w:bottom w:val="single" w:color="CCCCCC" w:sz="2" w:space="1"/>
        </w:pBdr>
        <w:spacing w:after="160" w:before="160"/>
      </w:pPr>
    </w:p>
    <w:p>
      <w:pPr>
        <w:pStyle w:val="Heading1"/>
        <w:pBdr>
          <w:bottom w:val="single" w:color="1F5C9E" w:sz="4" w:space="4"/>
        </w:pBdr>
        <w:spacing w:after="120" w:before="360"/>
      </w:pPr>
      <w:r>
        <w:rPr>
          <w:rFonts w:ascii="Arial" w:cs="Arial" w:eastAsia="Arial" w:hAnsi="Arial"/>
          <w:b/>
          <w:bCs/>
          <w:color w:val="1F5C9E"/>
          <w:sz w:val="28"/>
          <w:szCs w:val="28"/>
        </w:rPr>
        <w:t xml:space="preserve">3. Magnet CODE Values</w:t>
      </w:r>
    </w:p>
    <w:p>
      <w:pPr>
        <w:spacing w:after="80"/>
        <w:ind/>
      </w:pPr>
      <w:r>
        <w:rPr>
          <w:rFonts w:ascii="Arial" w:cs="Arial" w:eastAsia="Arial" w:hAnsi="Arial"/>
          <w:sz w:val="22"/>
          <w:szCs w:val="22"/>
        </w:rPr>
        <w:t xml:space="preserve">Magnet explicitly asks candidates to demonstrate CODE in interviews. Prepare these concisely — 30-60 seconds each.</w:t>
      </w:r>
    </w:p>
    <w:p>
      <w:pPr>
        <w:spacing w:after="60" w:before="200"/>
      </w:pPr>
      <w:r>
        <w:rPr>
          <w:rFonts w:ascii="Arial" w:cs="Arial" w:eastAsia="Arial" w:hAnsi="Arial"/>
          <w:b/>
          <w:bCs/>
          <w:color w:val="1F5C9E"/>
          <w:sz w:val="22"/>
          <w:szCs w:val="22"/>
        </w:rPr>
        <w:t xml:space="preserve">CARE — We care about each other and our mission</w:t>
      </w:r>
    </w:p>
    <w:p>
      <w:pPr>
        <w:spacing w:after="80"/>
        <w:ind/>
      </w:pPr>
      <w:r>
        <w:rPr>
          <w:rFonts w:ascii="Arial" w:cs="Arial" w:eastAsia="Arial" w:hAnsi="Arial"/>
          <w:sz w:val="22"/>
          <w:szCs w:val="22"/>
        </w:rPr>
        <w:t xml:space="preserve">"My background is entirely in security software — McAfee, Symantec, BlackBerry. I've spent my career building quality for products that protect people's devices, data, and identities. Magnet's mission — helping investigators fight crime and protect communities — is a natural extension of that. The work matters beyond the code, and that's the environment I do my best work in."</w:t>
      </w:r>
    </w:p>
    <w:p>
      <w:pPr>
        <w:spacing w:after="60" w:before="200"/>
      </w:pPr>
      <w:r>
        <w:rPr>
          <w:rFonts w:ascii="Arial" w:cs="Arial" w:eastAsia="Arial" w:hAnsi="Arial"/>
          <w:b/>
          <w:bCs/>
          <w:color w:val="1F5C9E"/>
          <w:sz w:val="22"/>
          <w:szCs w:val="22"/>
        </w:rPr>
        <w:t xml:space="preserve">OWN — Accountable, integrity, empathy</w:t>
      </w:r>
    </w:p>
    <w:p>
      <w:pPr>
        <w:spacing w:after="80"/>
        <w:ind/>
      </w:pPr>
      <w:r>
        <w:rPr>
          <w:rFonts w:ascii="Arial" w:cs="Arial" w:eastAsia="Arial" w:hAnsi="Arial"/>
          <w:sz w:val="22"/>
          <w:szCs w:val="22"/>
        </w:rPr>
        <w:t xml:space="preserve">"I've owned quality end-to-end for production platforms with millions of users. When something slips through, I don't deflect — I do a root-cause analysis, fix the gap in the framework, and share the learning with the team. Accountability to me means the pipeline is trustworthy because I made it trustworthy, not because everyone got lucky."</w:t>
      </w:r>
    </w:p>
    <w:p>
      <w:pPr>
        <w:spacing w:after="60" w:before="200"/>
      </w:pPr>
      <w:r>
        <w:rPr>
          <w:rFonts w:ascii="Arial" w:cs="Arial" w:eastAsia="Arial" w:hAnsi="Arial"/>
          <w:b/>
          <w:bCs/>
          <w:color w:val="1F5C9E"/>
          <w:sz w:val="22"/>
          <w:szCs w:val="22"/>
        </w:rPr>
        <w:t xml:space="preserve">DEDICATE — Meeting customer needs</w:t>
      </w:r>
    </w:p>
    <w:p>
      <w:pPr>
        <w:spacing w:after="80"/>
        <w:ind/>
      </w:pPr>
      <w:r>
        <w:rPr>
          <w:rFonts w:ascii="Arial" w:cs="Arial" w:eastAsia="Arial" w:hAnsi="Arial"/>
          <w:sz w:val="22"/>
          <w:szCs w:val="22"/>
        </w:rPr>
        <w:t xml:space="preserve">"I design tests based on user risk, not just code coverage. Go/no-go decisions I've supported have always been framed around: what is the customer impact? That's why I participate in refinement and design — so quality is aligned to product intent from the start, not bolted on at the end."</w:t>
      </w:r>
    </w:p>
    <w:p>
      <w:pPr>
        <w:spacing w:after="60" w:before="200"/>
      </w:pPr>
      <w:r>
        <w:rPr>
          <w:rFonts w:ascii="Arial" w:cs="Arial" w:eastAsia="Arial" w:hAnsi="Arial"/>
          <w:b/>
          <w:bCs/>
          <w:color w:val="1F5C9E"/>
          <w:sz w:val="22"/>
          <w:szCs w:val="22"/>
        </w:rPr>
        <w:t xml:space="preserve">EVOLVE — Constantly innovating</w:t>
      </w:r>
    </w:p>
    <w:p>
      <w:pPr>
        <w:spacing w:after="80"/>
        <w:ind/>
      </w:pPr>
      <w:r>
        <w:rPr>
          <w:rFonts w:ascii="Arial" w:cs="Arial" w:eastAsia="Arial" w:hAnsi="Arial"/>
          <w:sz w:val="22"/>
          <w:szCs w:val="22"/>
        </w:rPr>
        <w:t xml:space="preserve">"The agentic testing work I've built at McAfee — LLM-powered failure clustering, self-healing pipelines — came from asking 'what would quality engineering look like if we applied AI here?' I'm currently completing my ISTQB CT-GenAI certification. I believe the next 2-3 years will fundamentally change how QEs work, and I want to be building that future, not reacting to it."</w:t>
      </w:r>
    </w:p>
    <w:p>
      <w:pPr>
        <w:pBdr>
          <w:bottom w:val="single" w:color="CCCCCC" w:sz="2" w:space="1"/>
        </w:pBdr>
        <w:spacing w:after="160" w:before="160"/>
      </w:pPr>
    </w:p>
    <w:p>
      <w:pPr>
        <w:pStyle w:val="Heading1"/>
        <w:pBdr>
          <w:bottom w:val="single" w:color="1F5C9E" w:sz="4" w:space="4"/>
        </w:pBdr>
        <w:spacing w:after="120" w:before="360"/>
      </w:pPr>
      <w:r>
        <w:rPr>
          <w:rFonts w:ascii="Arial" w:cs="Arial" w:eastAsia="Arial" w:hAnsi="Arial"/>
          <w:b/>
          <w:bCs/>
          <w:color w:val="1F5C9E"/>
          <w:sz w:val="28"/>
          <w:szCs w:val="28"/>
        </w:rPr>
        <w:t xml:space="preserve">4. Surface Technical Questions (HM Round)</w:t>
      </w:r>
    </w:p>
    <w:p>
      <w:pPr>
        <w:spacing w:after="80"/>
        <w:ind/>
      </w:pPr>
      <w:r>
        <w:rPr>
          <w:rFonts w:ascii="Arial" w:cs="Arial" w:eastAsia="Arial" w:hAnsi="Arial"/>
          <w:sz w:val="22"/>
          <w:szCs w:val="22"/>
        </w:rPr>
        <w:t xml:space="preserve">The HM round is mostly behavioral — but be ready for these if they come up.</w:t>
      </w:r>
    </w:p>
    <w:p>
      <w:pPr>
        <w:pStyle w:val="Heading2"/>
        <w:spacing w:after="80" w:before="280"/>
      </w:pPr>
      <w:r>
        <w:rPr>
          <w:rFonts w:ascii="Arial" w:cs="Arial" w:eastAsia="Arial" w:hAnsi="Arial"/>
          <w:b/>
          <w:bCs/>
          <w:color w:val="222222"/>
          <w:sz w:val="24"/>
          <w:szCs w:val="24"/>
        </w:rPr>
        <w:t xml:space="preserve">Q: How do you approach test automation strategy for a new service?</w:t>
      </w:r>
    </w:p>
    <w:p>
      <w:pPr>
        <w:pStyle w:val="ListParagraph"/>
        <w:numPr>
          <w:ilvl w:val="0"/>
          <w:numId w:val="2"/>
        </w:numPr>
        <w:spacing w:after="60"/>
      </w:pPr>
      <w:r>
        <w:rPr>
          <w:rFonts w:ascii="Arial" w:cs="Arial" w:eastAsia="Arial" w:hAnsi="Arial"/>
          <w:sz w:val="22"/>
          <w:szCs w:val="22"/>
        </w:rPr>
        <w:t xml:space="preserve">Start with a risk-based analysis — what are the highest-impact, highest-probability failure modes?</w:t>
      </w:r>
    </w:p>
    <w:p>
      <w:pPr>
        <w:pStyle w:val="ListParagraph"/>
        <w:numPr>
          <w:ilvl w:val="0"/>
          <w:numId w:val="2"/>
        </w:numPr>
        <w:spacing w:after="60"/>
      </w:pPr>
      <w:r>
        <w:rPr>
          <w:rFonts w:ascii="Arial" w:cs="Arial" w:eastAsia="Arial" w:hAnsi="Arial"/>
          <w:sz w:val="22"/>
          <w:szCs w:val="22"/>
        </w:rPr>
        <w:t xml:space="preserve">Layer coverage: contract tests first (API shape), then integration, then UI smoke — fastest feedback first.</w:t>
      </w:r>
    </w:p>
    <w:p>
      <w:pPr>
        <w:pStyle w:val="ListParagraph"/>
        <w:numPr>
          <w:ilvl w:val="0"/>
          <w:numId w:val="2"/>
        </w:numPr>
        <w:spacing w:after="60"/>
      </w:pPr>
      <w:r>
        <w:rPr>
          <w:rFonts w:ascii="Arial" w:cs="Arial" w:eastAsia="Arial" w:hAnsi="Arial"/>
          <w:sz w:val="22"/>
          <w:szCs w:val="22"/>
        </w:rPr>
        <w:t xml:space="preserve">Integrate into CI/CD from day one — quality gates are only useful if they run on every commit.</w:t>
      </w:r>
    </w:p>
    <w:p>
      <w:pPr>
        <w:pStyle w:val="ListParagraph"/>
        <w:numPr>
          <w:ilvl w:val="0"/>
          <w:numId w:val="2"/>
        </w:numPr>
        <w:spacing w:after="60"/>
      </w:pPr>
      <w:r>
        <w:rPr>
          <w:rFonts w:ascii="Arial" w:cs="Arial" w:eastAsia="Arial" w:hAnsi="Arial"/>
          <w:sz w:val="22"/>
          <w:szCs w:val="22"/>
        </w:rPr>
        <w:t xml:space="preserve">Monitor for flakiness from the start using Grafana or equivalent — don't let noise accumulate.</w:t>
      </w:r>
    </w:p>
    <w:p>
      <w:pPr>
        <w:pStyle w:val="ListParagraph"/>
        <w:numPr>
          <w:ilvl w:val="0"/>
          <w:numId w:val="2"/>
        </w:numPr>
        <w:spacing w:after="60"/>
      </w:pPr>
      <w:r>
        <w:rPr>
          <w:rFonts w:ascii="Arial" w:cs="Arial" w:eastAsia="Arial" w:hAnsi="Arial"/>
          <w:sz w:val="22"/>
          <w:szCs w:val="22"/>
        </w:rPr>
        <w:t xml:space="preserve">Revisit coverage as the product evolves — test strategy is a living document, not a checklist.</w:t>
      </w:r>
    </w:p>
    <w:p>
      <w:pPr>
        <w:pStyle w:val="Heading2"/>
        <w:spacing w:after="80" w:before="280"/>
      </w:pPr>
      <w:r>
        <w:rPr>
          <w:rFonts w:ascii="Arial" w:cs="Arial" w:eastAsia="Arial" w:hAnsi="Arial"/>
          <w:b/>
          <w:bCs/>
          <w:color w:val="222222"/>
          <w:sz w:val="24"/>
          <w:szCs w:val="24"/>
        </w:rPr>
        <w:t xml:space="preserve">Q: How do you keep CI/CD pipelines fast and trustworthy?</w:t>
      </w:r>
    </w:p>
    <w:p>
      <w:pPr>
        <w:pStyle w:val="ListParagraph"/>
        <w:numPr>
          <w:ilvl w:val="0"/>
          <w:numId w:val="2"/>
        </w:numPr>
        <w:spacing w:after="60"/>
      </w:pPr>
      <w:r>
        <w:rPr>
          <w:rFonts w:ascii="Arial" w:cs="Arial" w:eastAsia="Arial" w:hAnsi="Arial"/>
          <w:sz w:val="22"/>
          <w:szCs w:val="22"/>
        </w:rPr>
        <w:t xml:space="preserve">Flakiness is the enemy of trust — I use statistical pass thresholds and LLM-based clustering to identify and quarantine flaky tests proactively.</w:t>
      </w:r>
    </w:p>
    <w:p>
      <w:pPr>
        <w:pStyle w:val="ListParagraph"/>
        <w:numPr>
          <w:ilvl w:val="0"/>
          <w:numId w:val="2"/>
        </w:numPr>
        <w:spacing w:after="60"/>
      </w:pPr>
      <w:r>
        <w:rPr>
          <w:rFonts w:ascii="Arial" w:cs="Arial" w:eastAsia="Arial" w:hAnsi="Arial"/>
          <w:sz w:val="22"/>
          <w:szCs w:val="22"/>
        </w:rPr>
        <w:t xml:space="preserve">Dockerized environments ensure test isolation and reproducibility — eliminates 'works on my machine' failures.</w:t>
      </w:r>
    </w:p>
    <w:p>
      <w:pPr>
        <w:pStyle w:val="ListParagraph"/>
        <w:numPr>
          <w:ilvl w:val="0"/>
          <w:numId w:val="2"/>
        </w:numPr>
        <w:spacing w:after="60"/>
      </w:pPr>
      <w:r>
        <w:rPr>
          <w:rFonts w:ascii="Arial" w:cs="Arial" w:eastAsia="Arial" w:hAnsi="Arial"/>
          <w:sz w:val="22"/>
          <w:szCs w:val="22"/>
        </w:rPr>
        <w:t xml:space="preserve">Run the right tests at the right time — fast unit/contract tests on every PR, full integration suite on merge.</w:t>
      </w:r>
    </w:p>
    <w:p>
      <w:pPr>
        <w:pStyle w:val="ListParagraph"/>
        <w:numPr>
          <w:ilvl w:val="0"/>
          <w:numId w:val="2"/>
        </w:numPr>
        <w:spacing w:after="60"/>
      </w:pPr>
      <w:r>
        <w:rPr>
          <w:rFonts w:ascii="Arial" w:cs="Arial" w:eastAsia="Arial" w:hAnsi="Arial"/>
          <w:sz w:val="22"/>
          <w:szCs w:val="22"/>
        </w:rPr>
        <w:t xml:space="preserve">Dashboard visibility in Grafana — every engineer can see pipeline health without asking me.</w:t>
      </w:r>
    </w:p>
    <w:p>
      <w:pPr>
        <w:pBdr>
          <w:bottom w:val="single" w:color="CCCCCC" w:sz="2" w:space="1"/>
        </w:pBdr>
        <w:spacing w:after="160" w:before="160"/>
      </w:pPr>
    </w:p>
    <w:p>
      <w:pPr>
        <w:pStyle w:val="Heading1"/>
        <w:pBdr>
          <w:bottom w:val="single" w:color="1F5C9E" w:sz="4" w:space="4"/>
        </w:pBdr>
        <w:spacing w:after="120" w:before="360"/>
      </w:pPr>
      <w:r>
        <w:rPr>
          <w:rFonts w:ascii="Arial" w:cs="Arial" w:eastAsia="Arial" w:hAnsi="Arial"/>
          <w:b/>
          <w:bCs/>
          <w:color w:val="1F5C9E"/>
          <w:sz w:val="28"/>
          <w:szCs w:val="28"/>
        </w:rPr>
        <w:t xml:space="preserve">5. Questions to Ask the Hiring Manager</w:t>
      </w:r>
    </w:p>
    <w:p>
      <w:pPr>
        <w:shd w:fill="FFF8E1" w:val="clear"/>
        <w:spacing w:after="120" w:before="80"/>
        <w:ind w:left="180" w:right="180"/>
      </w:pPr>
      <w:r>
        <w:rPr>
          <w:rFonts w:ascii="Arial" w:cs="Arial" w:eastAsia="Arial" w:hAnsi="Arial"/>
          <w:b/>
          <w:bCs/>
          <w:color w:val="7B5E00"/>
          <w:sz w:val="20"/>
          <w:szCs w:val="20"/>
        </w:rPr>
        <w:t xml:space="preserve">💡 Tip: </w:t>
      </w:r>
      <w:r>
        <w:rPr>
          <w:rFonts w:ascii="Arial" w:cs="Arial" w:eastAsia="Arial" w:hAnsi="Arial"/>
          <w:color w:val="555555"/>
          <w:sz w:val="20"/>
          <w:szCs w:val="20"/>
        </w:rPr>
        <w:t xml:space="preserve">Ask 2-3 of these. The agentic workflows question is a strong differentiator — it shows you read the JD carefully.</w:t>
      </w:r>
    </w:p>
    <w:p>
      <w:pPr>
        <w:pStyle w:val="ListParagraph"/>
        <w:numPr>
          <w:ilvl w:val="0"/>
          <w:numId w:val="2"/>
        </w:numPr>
        <w:spacing w:after="60"/>
      </w:pPr>
      <w:r>
        <w:rPr>
          <w:rFonts w:ascii="Arial" w:cs="Arial" w:eastAsia="Arial" w:hAnsi="Arial"/>
          <w:sz w:val="22"/>
          <w:szCs w:val="22"/>
        </w:rPr>
        <w:t xml:space="preserve">Which product or service would I be owning quality for initially, and what are the biggest quality challenges there right now?</w:t>
      </w:r>
    </w:p>
    <w:p>
      <w:pPr>
        <w:pStyle w:val="ListParagraph"/>
        <w:numPr>
          <w:ilvl w:val="0"/>
          <w:numId w:val="2"/>
        </w:numPr>
        <w:spacing w:after="60"/>
      </w:pPr>
      <w:r>
        <w:rPr>
          <w:rFonts w:ascii="Arial" w:cs="Arial" w:eastAsia="Arial" w:hAnsi="Arial"/>
          <w:sz w:val="22"/>
          <w:szCs w:val="22"/>
        </w:rPr>
        <w:t xml:space="preserve">The JD mentions agentic workflows as very important — how far along is the team in adopting them, and where do you see the biggest opportunity?</w:t>
      </w:r>
    </w:p>
    <w:p>
      <w:pPr>
        <w:pStyle w:val="ListParagraph"/>
        <w:numPr>
          <w:ilvl w:val="0"/>
          <w:numId w:val="2"/>
        </w:numPr>
        <w:spacing w:after="60"/>
      </w:pPr>
      <w:r>
        <w:rPr>
          <w:rFonts w:ascii="Arial" w:cs="Arial" w:eastAsia="Arial" w:hAnsi="Arial"/>
          <w:sz w:val="22"/>
          <w:szCs w:val="22"/>
        </w:rPr>
        <w:t xml:space="preserve">What does the quality engineering team structure look like — are SDETs embedded in squads or in a central team?</w:t>
      </w:r>
    </w:p>
    <w:p>
      <w:pPr>
        <w:pStyle w:val="ListParagraph"/>
        <w:numPr>
          <w:ilvl w:val="0"/>
          <w:numId w:val="2"/>
        </w:numPr>
        <w:spacing w:after="60"/>
      </w:pPr>
      <w:r>
        <w:rPr>
          <w:rFonts w:ascii="Arial" w:cs="Arial" w:eastAsia="Arial" w:hAnsi="Arial"/>
          <w:sz w:val="22"/>
          <w:szCs w:val="22"/>
        </w:rPr>
        <w:t xml:space="preserve">What would success look like at 3 months and 6 months in this role?</w:t>
      </w:r>
    </w:p>
    <w:p>
      <w:pPr>
        <w:pStyle w:val="ListParagraph"/>
        <w:numPr>
          <w:ilvl w:val="0"/>
          <w:numId w:val="2"/>
        </w:numPr>
        <w:spacing w:after="60"/>
      </w:pPr>
      <w:r>
        <w:rPr>
          <w:rFonts w:ascii="Arial" w:cs="Arial" w:eastAsia="Arial" w:hAnsi="Arial"/>
          <w:sz w:val="22"/>
          <w:szCs w:val="22"/>
        </w:rPr>
        <w:t xml:space="preserve">What's the current state of test coverage and CI/CD reliability, and what are the main pain points you're hoping this hire will address?</w:t>
      </w:r>
    </w:p>
    <w:p>
      <w:pPr>
        <w:pBdr>
          <w:bottom w:val="single" w:color="CCCCCC" w:sz="2" w:space="1"/>
        </w:pBdr>
        <w:spacing w:after="160" w:before="160"/>
      </w:pPr>
    </w:p>
    <w:p>
      <w:pPr>
        <w:pStyle w:val="Heading1"/>
        <w:pBdr>
          <w:bottom w:val="single" w:color="1F5C9E" w:sz="4" w:space="4"/>
        </w:pBdr>
        <w:spacing w:after="120" w:before="360"/>
      </w:pPr>
      <w:r>
        <w:rPr>
          <w:rFonts w:ascii="Arial" w:cs="Arial" w:eastAsia="Arial" w:hAnsi="Arial"/>
          <w:b/>
          <w:bCs/>
          <w:color w:val="1F5C9E"/>
          <w:sz w:val="28"/>
          <w:szCs w:val="28"/>
        </w:rPr>
        <w:t xml:space="preserve">6. Key Numbers to Remember</w:t>
      </w:r>
    </w:p>
    <w:p>
      <w:pPr>
        <w:spacing w:after="80"/>
        <w:ind/>
      </w:pPr>
      <w:r>
        <w:rPr>
          <w:rFonts w:ascii="Arial" w:cs="Arial" w:eastAsia="Arial" w:hAnsi="Arial"/>
          <w:sz w:val="22"/>
          <w:szCs w:val="22"/>
        </w:rPr>
        <w:t xml:space="preserve">Have these ready — quantified impact is memorable.</w:t>
      </w:r>
    </w:p>
    <w:p>
      <w:pPr>
        <w:pStyle w:val="ListParagraph"/>
        <w:numPr>
          <w:ilvl w:val="0"/>
          <w:numId w:val="2"/>
        </w:numPr>
        <w:spacing w:after="60"/>
      </w:pPr>
      <w:r>
        <w:rPr>
          <w:rFonts w:ascii="Arial" w:cs="Arial" w:eastAsia="Arial" w:hAnsi="Arial"/>
          <w:sz w:val="22"/>
          <w:szCs w:val="22"/>
        </w:rPr>
        <w:t xml:space="preserve">10+ years SDET experience across McAfee, Broadcom/Symantec, BlackBerry, Equitable Life</w:t>
      </w:r>
    </w:p>
    <w:p>
      <w:pPr>
        <w:pStyle w:val="ListParagraph"/>
        <w:numPr>
          <w:ilvl w:val="0"/>
          <w:numId w:val="2"/>
        </w:numPr>
        <w:spacing w:after="60"/>
      </w:pPr>
      <w:r>
        <w:rPr>
          <w:rFonts w:ascii="Arial" w:cs="Arial" w:eastAsia="Arial" w:hAnsi="Arial"/>
          <w:sz w:val="22"/>
          <w:szCs w:val="22"/>
        </w:rPr>
        <w:t xml:space="preserve">99% CI/CD reliability gate — Playwright + Python framework at McAfee</w:t>
      </w:r>
    </w:p>
    <w:p>
      <w:pPr>
        <w:pStyle w:val="ListParagraph"/>
        <w:numPr>
          <w:ilvl w:val="0"/>
          <w:numId w:val="2"/>
        </w:numPr>
        <w:spacing w:after="60"/>
      </w:pPr>
      <w:r>
        <w:rPr>
          <w:rFonts w:ascii="Arial" w:cs="Arial" w:eastAsia="Arial" w:hAnsi="Arial"/>
          <w:sz w:val="22"/>
          <w:szCs w:val="22"/>
        </w:rPr>
        <w:t xml:space="preserve">40% reduction in manual triage time — AI-assisted failure clustering</w:t>
      </w:r>
    </w:p>
    <w:p>
      <w:pPr>
        <w:pStyle w:val="ListParagraph"/>
        <w:numPr>
          <w:ilvl w:val="0"/>
          <w:numId w:val="2"/>
        </w:numPr>
        <w:spacing w:after="60"/>
      </w:pPr>
      <w:r>
        <w:rPr>
          <w:rFonts w:ascii="Arial" w:cs="Arial" w:eastAsia="Arial" w:hAnsi="Arial"/>
          <w:sz w:val="22"/>
          <w:szCs w:val="22"/>
        </w:rPr>
        <w:t xml:space="preserve">40% regression cycle reduction — Equitable Life CI/CD automation transition</w:t>
      </w:r>
    </w:p>
    <w:p>
      <w:pPr>
        <w:pStyle w:val="ListParagraph"/>
        <w:numPr>
          <w:ilvl w:val="0"/>
          <w:numId w:val="2"/>
        </w:numPr>
        <w:spacing w:after="60"/>
      </w:pPr>
      <w:r>
        <w:rPr>
          <w:rFonts w:ascii="Arial" w:cs="Arial" w:eastAsia="Arial" w:hAnsi="Arial"/>
          <w:sz w:val="22"/>
          <w:szCs w:val="22"/>
        </w:rPr>
        <w:t xml:space="preserve">40% throughput increase — Distributed test execution system at Broadcom</w:t>
      </w:r>
    </w:p>
    <w:p>
      <w:pPr>
        <w:pStyle w:val="ListParagraph"/>
        <w:numPr>
          <w:ilvl w:val="0"/>
          <w:numId w:val="2"/>
        </w:numPr>
        <w:spacing w:after="60"/>
      </w:pPr>
      <w:r>
        <w:rPr>
          <w:rFonts w:ascii="Arial" w:cs="Arial" w:eastAsia="Arial" w:hAnsi="Arial"/>
          <w:sz w:val="22"/>
          <w:szCs w:val="22"/>
        </w:rPr>
        <w:t xml:space="preserve">5,000+ automated test suites with 95%+ coverage — McAfee SDET role (2014-2018)</w:t>
      </w:r>
    </w:p>
    <w:p>
      <w:pPr>
        <w:pStyle w:val="ListParagraph"/>
        <w:numPr>
          <w:ilvl w:val="0"/>
          <w:numId w:val="2"/>
        </w:numPr>
        <w:spacing w:after="60"/>
      </w:pPr>
      <w:r>
        <w:rPr>
          <w:rFonts w:ascii="Arial" w:cs="Arial" w:eastAsia="Arial" w:hAnsi="Arial"/>
          <w:sz w:val="22"/>
          <w:szCs w:val="22"/>
        </w:rPr>
        <w:t xml:space="preserve">3+ squads — standardized release processes and synthetic monitoring rollout</w:t>
      </w:r>
    </w:p>
    <w:p>
      <w:pPr>
        <w:pStyle w:val="ListParagraph"/>
        <w:numPr>
          <w:ilvl w:val="0"/>
          <w:numId w:val="2"/>
        </w:numPr>
        <w:spacing w:after="60"/>
      </w:pPr>
      <w:r>
        <w:rPr>
          <w:rFonts w:ascii="Arial" w:cs="Arial" w:eastAsia="Arial" w:hAnsi="Arial"/>
          <w:sz w:val="22"/>
          <w:szCs w:val="22"/>
        </w:rPr>
        <w:t xml:space="preserve">25% framework maintenance reduction — reusable libraries at Equitable Life</w:t>
      </w:r>
    </w:p>
    <w:p>
      <w:pPr>
        <w:pStyle w:val="ListParagraph"/>
        <w:numPr>
          <w:ilvl w:val="0"/>
          <w:numId w:val="2"/>
        </w:numPr>
        <w:spacing w:after="60"/>
      </w:pPr>
      <w:r>
        <w:rPr>
          <w:rFonts w:ascii="Arial" w:cs="Arial" w:eastAsia="Arial" w:hAnsi="Arial"/>
          <w:sz w:val="22"/>
          <w:szCs w:val="22"/>
        </w:rPr>
        <w:t xml:space="preserve">70% manual validation effort reduction — Python XML parsing utilities at Autodata/GM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E"/>
      <w:sz w:val="28"/>
      <w:szCs w:val="28"/>
    </w:rPr>
  </w:style>
  <w:style w:type="paragraph" w:styleId="Heading2">
    <w:name w:val="Heading 2"/>
    <w:basedOn w:val="Normal"/>
    <w:next w:val="Normal"/>
    <w:qFormat/>
    <w:pPr>
      <w:spacing w:after="8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2026-05-26T20:40:19.430Z</dcterms:created>
  <dcterms:modified xsi:type="dcterms:W3CDTF">2026-05-26T20:40:19.430Z</dcterms:modified>
</cp:coreProperties>
</file>

<file path=docProps/custom.xml><?xml version="1.0" encoding="utf-8"?>
<Properties xmlns="http://schemas.openxmlformats.org/officeDocument/2006/custom-properties" xmlns:vt="http://schemas.openxmlformats.org/officeDocument/2006/docPropsVTypes"/>
</file>