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6EE3" w:rsidRDefault="00001C93">
      <w:pPr>
        <w:spacing w:after="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b/>
          <w:sz w:val="24"/>
          <w:szCs w:val="24"/>
        </w:rPr>
        <w:t xml:space="preserve"> Data BMKG</w:t>
      </w:r>
    </w:p>
    <w:p w:rsidR="00F76EE3" w:rsidRDefault="00001C93">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Identifikasi Data</w:t>
      </w:r>
    </w:p>
    <w:p w:rsidR="00F76EE3" w:rsidRDefault="00001C93">
      <w:pPr>
        <w:numPr>
          <w:ilvl w:val="0"/>
          <w:numId w:val="1"/>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Satuan: Bulanan (1 Tahun 12 Dataset)</w:t>
      </w:r>
    </w:p>
    <w:p w:rsidR="00F76EE3" w:rsidRDefault="00001C93">
      <w:pPr>
        <w:numPr>
          <w:ilvl w:val="0"/>
          <w:numId w:val="1"/>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Durasi: [2005-01-01] hingga [2025-06-30] </w:t>
      </w:r>
    </w:p>
    <w:p w:rsidR="00F76EE3" w:rsidRDefault="00001C93">
      <w:pPr>
        <w:numPr>
          <w:ilvl w:val="0"/>
          <w:numId w:val="1"/>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https://dataonline.bmkg.go.id/</w:t>
      </w:r>
    </w:p>
    <w:p w:rsidR="00F76EE3" w:rsidRDefault="00001C93">
      <w:pPr>
        <w:numPr>
          <w:ilvl w:val="0"/>
          <w:numId w:val="1"/>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Format</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.xlsx</w:t>
      </w:r>
    </w:p>
    <w:p w:rsidR="00F76EE3" w:rsidRDefault="00F76EE3">
      <w:pPr>
        <w:spacing w:after="0"/>
        <w:jc w:val="both"/>
        <w:rPr>
          <w:rFonts w:ascii="Times New Roman" w:eastAsia="Times New Roman" w:hAnsi="Times New Roman" w:cs="Times New Roman"/>
          <w:sz w:val="24"/>
          <w:szCs w:val="24"/>
        </w:rPr>
      </w:pPr>
    </w:p>
    <w:p w:rsidR="00F76EE3" w:rsidRDefault="00001C93">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Analisis Statistik Deskriptif</w:t>
      </w:r>
    </w:p>
    <w:tbl>
      <w:tblPr>
        <w:tblStyle w:val="a"/>
        <w:tblW w:w="936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4125"/>
        <w:gridCol w:w="3315"/>
      </w:tblGrid>
      <w:tr w:rsidR="00F76EE3">
        <w:trPr>
          <w:trHeight w:val="440"/>
          <w:tblHeader/>
        </w:trPr>
        <w:tc>
          <w:tcPr>
            <w:tcW w:w="1920" w:type="dxa"/>
            <w:shd w:val="clear" w:color="auto" w:fill="auto"/>
            <w:tcMar>
              <w:top w:w="100" w:type="dxa"/>
              <w:left w:w="100" w:type="dxa"/>
              <w:bottom w:w="100" w:type="dxa"/>
              <w:right w:w="100" w:type="dxa"/>
            </w:tcMar>
          </w:tcPr>
          <w:p w:rsidR="00F76EE3" w:rsidRDefault="00001C93">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Sumber Data</w:t>
            </w:r>
          </w:p>
        </w:tc>
        <w:tc>
          <w:tcPr>
            <w:tcW w:w="4125" w:type="dxa"/>
            <w:shd w:val="clear" w:color="auto" w:fill="auto"/>
            <w:tcMar>
              <w:top w:w="100" w:type="dxa"/>
              <w:left w:w="100" w:type="dxa"/>
              <w:bottom w:w="100" w:type="dxa"/>
              <w:right w:w="100" w:type="dxa"/>
            </w:tcMar>
          </w:tcPr>
          <w:p w:rsidR="00F76EE3" w:rsidRDefault="00001C93">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Keterangan</w:t>
            </w:r>
          </w:p>
        </w:tc>
        <w:tc>
          <w:tcPr>
            <w:tcW w:w="3315" w:type="dxa"/>
            <w:shd w:val="clear" w:color="auto" w:fill="auto"/>
            <w:tcMar>
              <w:top w:w="100" w:type="dxa"/>
              <w:left w:w="100" w:type="dxa"/>
              <w:bottom w:w="100" w:type="dxa"/>
              <w:right w:w="100" w:type="dxa"/>
            </w:tcMar>
          </w:tcPr>
          <w:p w:rsidR="00F76EE3" w:rsidRDefault="00001C93">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Curah Hujan (RR)</w:t>
            </w:r>
          </w:p>
        </w:tc>
      </w:tr>
      <w:tr w:rsidR="00F76EE3">
        <w:trPr>
          <w:trHeight w:val="440"/>
          <w:tblHeader/>
        </w:trPr>
        <w:tc>
          <w:tcPr>
            <w:tcW w:w="1920" w:type="dxa"/>
            <w:vMerge w:val="restart"/>
            <w:shd w:val="clear" w:color="auto" w:fill="auto"/>
            <w:tcMar>
              <w:top w:w="100" w:type="dxa"/>
              <w:left w:w="100" w:type="dxa"/>
              <w:bottom w:w="100" w:type="dxa"/>
              <w:right w:w="100" w:type="dxa"/>
            </w:tcMar>
          </w:tcPr>
          <w:p w:rsidR="00F76EE3" w:rsidRDefault="00F76EE3">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p>
          <w:p w:rsidR="00F76EE3" w:rsidRDefault="00F76EE3">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p>
          <w:p w:rsidR="00F76EE3" w:rsidRDefault="00F76EE3">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p>
          <w:p w:rsidR="00F76EE3" w:rsidRDefault="00F76EE3">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p>
          <w:p w:rsidR="00F76EE3" w:rsidRDefault="00F76EE3">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p>
          <w:p w:rsidR="00F76EE3" w:rsidRDefault="00F76EE3">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p>
          <w:p w:rsidR="00F76EE3" w:rsidRDefault="00F76EE3">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p>
          <w:p w:rsidR="00F76EE3" w:rsidRDefault="00001C93">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BMKG</w:t>
            </w:r>
          </w:p>
        </w:tc>
        <w:tc>
          <w:tcPr>
            <w:tcW w:w="4125" w:type="dxa"/>
            <w:shd w:val="clear" w:color="auto" w:fill="auto"/>
            <w:tcMar>
              <w:top w:w="100" w:type="dxa"/>
              <w:left w:w="100" w:type="dxa"/>
              <w:bottom w:w="100" w:type="dxa"/>
              <w:right w:w="100" w:type="dxa"/>
            </w:tcMar>
          </w:tcPr>
          <w:p w:rsidR="00F76EE3" w:rsidRDefault="00001C93">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Jumlah Data</w:t>
            </w:r>
          </w:p>
        </w:tc>
        <w:tc>
          <w:tcPr>
            <w:tcW w:w="3315" w:type="dxa"/>
            <w:shd w:val="clear" w:color="auto" w:fill="auto"/>
            <w:tcMar>
              <w:top w:w="100" w:type="dxa"/>
              <w:left w:w="100" w:type="dxa"/>
              <w:bottom w:w="100" w:type="dxa"/>
              <w:right w:w="100" w:type="dxa"/>
            </w:tcMar>
          </w:tcPr>
          <w:p w:rsidR="00F76EE3" w:rsidRDefault="00001C93">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4944</w:t>
            </w:r>
          </w:p>
        </w:tc>
      </w:tr>
      <w:tr w:rsidR="00F76EE3">
        <w:trPr>
          <w:trHeight w:val="440"/>
          <w:tblHeader/>
        </w:trPr>
        <w:tc>
          <w:tcPr>
            <w:tcW w:w="1920" w:type="dxa"/>
            <w:vMerge/>
            <w:shd w:val="clear" w:color="auto" w:fill="auto"/>
            <w:tcMar>
              <w:top w:w="100" w:type="dxa"/>
              <w:left w:w="100" w:type="dxa"/>
              <w:bottom w:w="100" w:type="dxa"/>
              <w:right w:w="100" w:type="dxa"/>
            </w:tcMar>
          </w:tcPr>
          <w:p w:rsidR="00F76EE3" w:rsidRDefault="00F76EE3">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4125" w:type="dxa"/>
            <w:shd w:val="clear" w:color="auto" w:fill="auto"/>
            <w:tcMar>
              <w:top w:w="100" w:type="dxa"/>
              <w:left w:w="100" w:type="dxa"/>
              <w:bottom w:w="100" w:type="dxa"/>
              <w:right w:w="100" w:type="dxa"/>
            </w:tcMar>
          </w:tcPr>
          <w:p w:rsidR="00F76EE3" w:rsidRDefault="00001C93">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Jumlah </w:t>
            </w:r>
            <w:r>
              <w:rPr>
                <w:rFonts w:ascii="Times New Roman" w:eastAsia="Times New Roman" w:hAnsi="Times New Roman" w:cs="Times New Roman"/>
                <w:i/>
                <w:sz w:val="24"/>
                <w:szCs w:val="24"/>
              </w:rPr>
              <w:t>Missing Value</w:t>
            </w:r>
          </w:p>
        </w:tc>
        <w:tc>
          <w:tcPr>
            <w:tcW w:w="3315" w:type="dxa"/>
            <w:shd w:val="clear" w:color="auto" w:fill="auto"/>
            <w:tcMar>
              <w:top w:w="100" w:type="dxa"/>
              <w:left w:w="100" w:type="dxa"/>
              <w:bottom w:w="100" w:type="dxa"/>
              <w:right w:w="100" w:type="dxa"/>
            </w:tcMar>
          </w:tcPr>
          <w:p w:rsidR="00F76EE3" w:rsidRDefault="00001C93">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829</w:t>
            </w:r>
          </w:p>
        </w:tc>
      </w:tr>
      <w:tr w:rsidR="00F76EE3">
        <w:trPr>
          <w:trHeight w:val="440"/>
          <w:tblHeader/>
        </w:trPr>
        <w:tc>
          <w:tcPr>
            <w:tcW w:w="1920" w:type="dxa"/>
            <w:vMerge/>
            <w:shd w:val="clear" w:color="auto" w:fill="auto"/>
            <w:tcMar>
              <w:top w:w="100" w:type="dxa"/>
              <w:left w:w="100" w:type="dxa"/>
              <w:bottom w:w="100" w:type="dxa"/>
              <w:right w:w="100" w:type="dxa"/>
            </w:tcMar>
          </w:tcPr>
          <w:p w:rsidR="00F76EE3" w:rsidRDefault="00F76EE3">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4125" w:type="dxa"/>
            <w:shd w:val="clear" w:color="auto" w:fill="auto"/>
            <w:tcMar>
              <w:top w:w="100" w:type="dxa"/>
              <w:left w:w="100" w:type="dxa"/>
              <w:bottom w:w="100" w:type="dxa"/>
              <w:right w:w="100" w:type="dxa"/>
            </w:tcMar>
          </w:tcPr>
          <w:p w:rsidR="00F76EE3" w:rsidRDefault="00001C93">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Minimum</w:t>
            </w:r>
          </w:p>
        </w:tc>
        <w:tc>
          <w:tcPr>
            <w:tcW w:w="3315" w:type="dxa"/>
            <w:shd w:val="clear" w:color="auto" w:fill="auto"/>
            <w:tcMar>
              <w:top w:w="100" w:type="dxa"/>
              <w:left w:w="100" w:type="dxa"/>
              <w:bottom w:w="100" w:type="dxa"/>
              <w:right w:w="100" w:type="dxa"/>
            </w:tcMar>
          </w:tcPr>
          <w:p w:rsidR="00F76EE3" w:rsidRDefault="00001C93">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 </w:t>
            </w:r>
          </w:p>
        </w:tc>
      </w:tr>
      <w:tr w:rsidR="00F76EE3">
        <w:trPr>
          <w:trHeight w:val="440"/>
          <w:tblHeader/>
        </w:trPr>
        <w:tc>
          <w:tcPr>
            <w:tcW w:w="1920" w:type="dxa"/>
            <w:vMerge/>
            <w:shd w:val="clear" w:color="auto" w:fill="auto"/>
            <w:tcMar>
              <w:top w:w="100" w:type="dxa"/>
              <w:left w:w="100" w:type="dxa"/>
              <w:bottom w:w="100" w:type="dxa"/>
              <w:right w:w="100" w:type="dxa"/>
            </w:tcMar>
          </w:tcPr>
          <w:p w:rsidR="00F76EE3" w:rsidRDefault="00F76EE3">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4125" w:type="dxa"/>
            <w:shd w:val="clear" w:color="auto" w:fill="auto"/>
            <w:tcMar>
              <w:top w:w="100" w:type="dxa"/>
              <w:left w:w="100" w:type="dxa"/>
              <w:bottom w:w="100" w:type="dxa"/>
              <w:right w:w="100" w:type="dxa"/>
            </w:tcMar>
          </w:tcPr>
          <w:p w:rsidR="00F76EE3" w:rsidRDefault="00001C93">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Q1</w:t>
            </w:r>
          </w:p>
        </w:tc>
        <w:tc>
          <w:tcPr>
            <w:tcW w:w="3315" w:type="dxa"/>
            <w:shd w:val="clear" w:color="auto" w:fill="auto"/>
            <w:tcMar>
              <w:top w:w="100" w:type="dxa"/>
              <w:left w:w="100" w:type="dxa"/>
              <w:bottom w:w="100" w:type="dxa"/>
              <w:right w:w="100" w:type="dxa"/>
            </w:tcMar>
          </w:tcPr>
          <w:p w:rsidR="00F76EE3" w:rsidRDefault="00001C93">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 </w:t>
            </w:r>
          </w:p>
        </w:tc>
      </w:tr>
      <w:tr w:rsidR="00F76EE3">
        <w:trPr>
          <w:trHeight w:val="440"/>
          <w:tblHeader/>
        </w:trPr>
        <w:tc>
          <w:tcPr>
            <w:tcW w:w="1920" w:type="dxa"/>
            <w:vMerge/>
            <w:shd w:val="clear" w:color="auto" w:fill="auto"/>
            <w:tcMar>
              <w:top w:w="100" w:type="dxa"/>
              <w:left w:w="100" w:type="dxa"/>
              <w:bottom w:w="100" w:type="dxa"/>
              <w:right w:w="100" w:type="dxa"/>
            </w:tcMar>
          </w:tcPr>
          <w:p w:rsidR="00F76EE3" w:rsidRDefault="00F76EE3">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4125" w:type="dxa"/>
            <w:shd w:val="clear" w:color="auto" w:fill="auto"/>
            <w:tcMar>
              <w:top w:w="100" w:type="dxa"/>
              <w:left w:w="100" w:type="dxa"/>
              <w:bottom w:w="100" w:type="dxa"/>
              <w:right w:w="100" w:type="dxa"/>
            </w:tcMar>
          </w:tcPr>
          <w:p w:rsidR="00F76EE3" w:rsidRDefault="00001C93">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Median </w:t>
            </w:r>
          </w:p>
        </w:tc>
        <w:tc>
          <w:tcPr>
            <w:tcW w:w="3315" w:type="dxa"/>
            <w:shd w:val="clear" w:color="auto" w:fill="auto"/>
            <w:tcMar>
              <w:top w:w="100" w:type="dxa"/>
              <w:left w:w="100" w:type="dxa"/>
              <w:bottom w:w="100" w:type="dxa"/>
              <w:right w:w="100" w:type="dxa"/>
            </w:tcMar>
          </w:tcPr>
          <w:p w:rsidR="00F76EE3" w:rsidRDefault="00001C93">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
        </w:tc>
      </w:tr>
      <w:tr w:rsidR="00F76EE3">
        <w:trPr>
          <w:trHeight w:val="440"/>
          <w:tblHeader/>
        </w:trPr>
        <w:tc>
          <w:tcPr>
            <w:tcW w:w="1920" w:type="dxa"/>
            <w:vMerge/>
            <w:shd w:val="clear" w:color="auto" w:fill="auto"/>
            <w:tcMar>
              <w:top w:w="100" w:type="dxa"/>
              <w:left w:w="100" w:type="dxa"/>
              <w:bottom w:w="100" w:type="dxa"/>
              <w:right w:w="100" w:type="dxa"/>
            </w:tcMar>
          </w:tcPr>
          <w:p w:rsidR="00F76EE3" w:rsidRDefault="00F76EE3">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4125" w:type="dxa"/>
            <w:shd w:val="clear" w:color="auto" w:fill="auto"/>
            <w:tcMar>
              <w:top w:w="100" w:type="dxa"/>
              <w:left w:w="100" w:type="dxa"/>
              <w:bottom w:w="100" w:type="dxa"/>
              <w:right w:w="100" w:type="dxa"/>
            </w:tcMar>
          </w:tcPr>
          <w:p w:rsidR="00F76EE3" w:rsidRDefault="00001C93">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Mean</w:t>
            </w:r>
          </w:p>
        </w:tc>
        <w:tc>
          <w:tcPr>
            <w:tcW w:w="3315" w:type="dxa"/>
            <w:shd w:val="clear" w:color="auto" w:fill="auto"/>
            <w:tcMar>
              <w:top w:w="100" w:type="dxa"/>
              <w:left w:w="100" w:type="dxa"/>
              <w:bottom w:w="100" w:type="dxa"/>
              <w:right w:w="100" w:type="dxa"/>
            </w:tcMar>
          </w:tcPr>
          <w:p w:rsidR="00F76EE3" w:rsidRDefault="00001C93">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7.71</w:t>
            </w:r>
          </w:p>
        </w:tc>
      </w:tr>
      <w:tr w:rsidR="00F76EE3">
        <w:trPr>
          <w:trHeight w:val="440"/>
          <w:tblHeader/>
        </w:trPr>
        <w:tc>
          <w:tcPr>
            <w:tcW w:w="1920" w:type="dxa"/>
            <w:vMerge/>
            <w:shd w:val="clear" w:color="auto" w:fill="auto"/>
            <w:tcMar>
              <w:top w:w="100" w:type="dxa"/>
              <w:left w:w="100" w:type="dxa"/>
              <w:bottom w:w="100" w:type="dxa"/>
              <w:right w:w="100" w:type="dxa"/>
            </w:tcMar>
          </w:tcPr>
          <w:p w:rsidR="00F76EE3" w:rsidRDefault="00F76EE3">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4125" w:type="dxa"/>
            <w:shd w:val="clear" w:color="auto" w:fill="auto"/>
            <w:tcMar>
              <w:top w:w="100" w:type="dxa"/>
              <w:left w:w="100" w:type="dxa"/>
              <w:bottom w:w="100" w:type="dxa"/>
              <w:right w:w="100" w:type="dxa"/>
            </w:tcMar>
          </w:tcPr>
          <w:p w:rsidR="00F76EE3" w:rsidRDefault="00001C93">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Q3</w:t>
            </w:r>
          </w:p>
        </w:tc>
        <w:tc>
          <w:tcPr>
            <w:tcW w:w="3315" w:type="dxa"/>
            <w:shd w:val="clear" w:color="auto" w:fill="auto"/>
            <w:tcMar>
              <w:top w:w="100" w:type="dxa"/>
              <w:left w:w="100" w:type="dxa"/>
              <w:bottom w:w="100" w:type="dxa"/>
              <w:right w:w="100" w:type="dxa"/>
            </w:tcMar>
          </w:tcPr>
          <w:p w:rsidR="00F76EE3" w:rsidRDefault="00001C93">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8.80 </w:t>
            </w:r>
          </w:p>
        </w:tc>
      </w:tr>
      <w:tr w:rsidR="00F76EE3">
        <w:trPr>
          <w:trHeight w:val="440"/>
          <w:tblHeader/>
        </w:trPr>
        <w:tc>
          <w:tcPr>
            <w:tcW w:w="1920" w:type="dxa"/>
            <w:vMerge/>
            <w:shd w:val="clear" w:color="auto" w:fill="auto"/>
            <w:tcMar>
              <w:top w:w="100" w:type="dxa"/>
              <w:left w:w="100" w:type="dxa"/>
              <w:bottom w:w="100" w:type="dxa"/>
              <w:right w:w="100" w:type="dxa"/>
            </w:tcMar>
          </w:tcPr>
          <w:p w:rsidR="00F76EE3" w:rsidRDefault="00F76EE3">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4125" w:type="dxa"/>
            <w:shd w:val="clear" w:color="auto" w:fill="auto"/>
            <w:tcMar>
              <w:top w:w="100" w:type="dxa"/>
              <w:left w:w="100" w:type="dxa"/>
              <w:bottom w:w="100" w:type="dxa"/>
              <w:right w:w="100" w:type="dxa"/>
            </w:tcMar>
          </w:tcPr>
          <w:p w:rsidR="00F76EE3" w:rsidRDefault="00001C93">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Maksimum</w:t>
            </w:r>
          </w:p>
        </w:tc>
        <w:tc>
          <w:tcPr>
            <w:tcW w:w="3315" w:type="dxa"/>
            <w:shd w:val="clear" w:color="auto" w:fill="auto"/>
            <w:tcMar>
              <w:top w:w="100" w:type="dxa"/>
              <w:left w:w="100" w:type="dxa"/>
              <w:bottom w:w="100" w:type="dxa"/>
              <w:right w:w="100" w:type="dxa"/>
            </w:tcMar>
          </w:tcPr>
          <w:p w:rsidR="00F76EE3" w:rsidRDefault="00001C93">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180.8 </w:t>
            </w:r>
          </w:p>
        </w:tc>
      </w:tr>
      <w:tr w:rsidR="00F76EE3">
        <w:trPr>
          <w:trHeight w:val="440"/>
          <w:tblHeader/>
        </w:trPr>
        <w:tc>
          <w:tcPr>
            <w:tcW w:w="1920" w:type="dxa"/>
            <w:vMerge/>
            <w:shd w:val="clear" w:color="auto" w:fill="auto"/>
            <w:tcMar>
              <w:top w:w="100" w:type="dxa"/>
              <w:left w:w="100" w:type="dxa"/>
              <w:bottom w:w="100" w:type="dxa"/>
              <w:right w:w="100" w:type="dxa"/>
            </w:tcMar>
          </w:tcPr>
          <w:p w:rsidR="00F76EE3" w:rsidRDefault="00F76EE3">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4125" w:type="dxa"/>
            <w:shd w:val="clear" w:color="auto" w:fill="auto"/>
            <w:tcMar>
              <w:top w:w="100" w:type="dxa"/>
              <w:left w:w="100" w:type="dxa"/>
              <w:bottom w:w="100" w:type="dxa"/>
              <w:right w:w="100" w:type="dxa"/>
            </w:tcMar>
          </w:tcPr>
          <w:p w:rsidR="00F76EE3" w:rsidRDefault="00001C93">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Standar Deviasi</w:t>
            </w:r>
          </w:p>
        </w:tc>
        <w:tc>
          <w:tcPr>
            <w:tcW w:w="3315" w:type="dxa"/>
            <w:shd w:val="clear" w:color="auto" w:fill="auto"/>
            <w:tcMar>
              <w:top w:w="100" w:type="dxa"/>
              <w:left w:w="100" w:type="dxa"/>
              <w:bottom w:w="100" w:type="dxa"/>
              <w:right w:w="100" w:type="dxa"/>
            </w:tcMar>
          </w:tcPr>
          <w:p w:rsidR="00F76EE3" w:rsidRDefault="00001C93">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14.21 </w:t>
            </w:r>
          </w:p>
        </w:tc>
      </w:tr>
    </w:tbl>
    <w:p w:rsidR="00F76EE3" w:rsidRDefault="00F76EE3">
      <w:pPr>
        <w:spacing w:after="0"/>
        <w:rPr>
          <w:rFonts w:ascii="Times New Roman" w:eastAsia="Times New Roman" w:hAnsi="Times New Roman" w:cs="Times New Roman"/>
          <w:sz w:val="24"/>
          <w:szCs w:val="24"/>
        </w:rPr>
      </w:pPr>
    </w:p>
    <w:p w:rsidR="00F76EE3" w:rsidRDefault="00F76EE3">
      <w:pPr>
        <w:spacing w:after="0"/>
        <w:rPr>
          <w:rFonts w:ascii="Times New Roman" w:eastAsia="Times New Roman" w:hAnsi="Times New Roman" w:cs="Times New Roman"/>
          <w:sz w:val="24"/>
          <w:szCs w:val="24"/>
        </w:rPr>
      </w:pPr>
    </w:p>
    <w:p w:rsidR="00F76EE3" w:rsidRDefault="00F76EE3">
      <w:pPr>
        <w:spacing w:after="0"/>
        <w:rPr>
          <w:rFonts w:ascii="Times New Roman" w:eastAsia="Times New Roman" w:hAnsi="Times New Roman" w:cs="Times New Roman"/>
          <w:sz w:val="24"/>
          <w:szCs w:val="24"/>
        </w:rPr>
      </w:pPr>
    </w:p>
    <w:p w:rsidR="00F76EE3" w:rsidRDefault="00F76EE3">
      <w:pPr>
        <w:spacing w:after="0"/>
        <w:rPr>
          <w:rFonts w:ascii="Times New Roman" w:eastAsia="Times New Roman" w:hAnsi="Times New Roman" w:cs="Times New Roman"/>
          <w:sz w:val="24"/>
          <w:szCs w:val="24"/>
        </w:rPr>
      </w:pPr>
    </w:p>
    <w:p w:rsidR="00F76EE3" w:rsidRDefault="00001C93">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Visualisasi Preprocessing RR</w:t>
      </w:r>
      <w:r>
        <w:rPr>
          <w:rFonts w:ascii="Times New Roman" w:eastAsia="Times New Roman" w:hAnsi="Times New Roman" w:cs="Times New Roman"/>
          <w:noProof/>
          <w:sz w:val="24"/>
          <w:szCs w:val="24"/>
        </w:rPr>
        <w:drawing>
          <wp:inline distT="114300" distB="114300" distL="114300" distR="114300">
            <wp:extent cx="5971540" cy="29718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5971540" cy="2971800"/>
                    </a:xfrm>
                    <a:prstGeom prst="rect">
                      <a:avLst/>
                    </a:prstGeom>
                    <a:ln/>
                  </pic:spPr>
                </pic:pic>
              </a:graphicData>
            </a:graphic>
          </wp:inline>
        </w:drawing>
      </w:r>
    </w:p>
    <w:p w:rsidR="00F76EE3" w:rsidRDefault="00F76EE3">
      <w:pPr>
        <w:spacing w:after="0"/>
        <w:rPr>
          <w:rFonts w:ascii="Times New Roman" w:eastAsia="Times New Roman" w:hAnsi="Times New Roman" w:cs="Times New Roman"/>
          <w:sz w:val="24"/>
          <w:szCs w:val="24"/>
        </w:rPr>
      </w:pPr>
    </w:p>
    <w:p w:rsidR="00F76EE3" w:rsidRDefault="00001C93">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Gambar 1. Grafik </w:t>
      </w:r>
      <w:r>
        <w:rPr>
          <w:rFonts w:ascii="Times New Roman" w:eastAsia="Times New Roman" w:hAnsi="Times New Roman" w:cs="Times New Roman"/>
          <w:i/>
          <w:sz w:val="24"/>
          <w:szCs w:val="24"/>
        </w:rPr>
        <w:t xml:space="preserve">Time </w:t>
      </w:r>
      <w:proofErr w:type="gramStart"/>
      <w:r>
        <w:rPr>
          <w:rFonts w:ascii="Times New Roman" w:eastAsia="Times New Roman" w:hAnsi="Times New Roman" w:cs="Times New Roman"/>
          <w:i/>
          <w:sz w:val="24"/>
          <w:szCs w:val="24"/>
        </w:rPr>
        <w:t>Series</w:t>
      </w:r>
      <w:r>
        <w:rPr>
          <w:rFonts w:ascii="Times New Roman" w:eastAsia="Times New Roman" w:hAnsi="Times New Roman" w:cs="Times New Roman"/>
          <w:sz w:val="24"/>
          <w:szCs w:val="24"/>
        </w:rPr>
        <w:t xml:space="preserve">  01</w:t>
      </w:r>
      <w:proofErr w:type="gramEnd"/>
      <w:r>
        <w:rPr>
          <w:rFonts w:ascii="Times New Roman" w:eastAsia="Times New Roman" w:hAnsi="Times New Roman" w:cs="Times New Roman"/>
          <w:sz w:val="24"/>
          <w:szCs w:val="24"/>
        </w:rPr>
        <w:t xml:space="preserve"> Januari 2005 - 30 Juni 2025 </w:t>
      </w:r>
    </w:p>
    <w:p w:rsidR="00074F0A" w:rsidRDefault="00074F0A">
      <w:pPr>
        <w:spacing w:after="0"/>
        <w:jc w:val="center"/>
        <w:rPr>
          <w:rFonts w:ascii="Times New Roman" w:eastAsia="Times New Roman" w:hAnsi="Times New Roman" w:cs="Times New Roman"/>
          <w:sz w:val="24"/>
          <w:szCs w:val="24"/>
        </w:rPr>
      </w:pPr>
    </w:p>
    <w:p w:rsidR="00F76EE3" w:rsidRDefault="00001C93">
      <w:pPr>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Gambar 1 memperlihatkan deret waktu curah hujan harian di wilayah observasi dari tanggal 1 Januari 2005 hingga 30 Juni 2025. Setiap titik garis biru mewakili jumlah curah hujan mm terjadi pada hari tertentu. Puncak merah grafik menandai kejadian hujan ekst</w:t>
      </w:r>
      <w:r>
        <w:rPr>
          <w:rFonts w:ascii="Times New Roman" w:eastAsia="Times New Roman" w:hAnsi="Times New Roman" w:cs="Times New Roman"/>
          <w:sz w:val="24"/>
          <w:szCs w:val="24"/>
        </w:rPr>
        <w:t>rem, yaitu hari-hari dengan curah hujan melebihi 50 mm. Hampir setiap tahun menunjukkan siklus kenaikan dan penurunan berulang, mencerminkan perbedaan antara musim hujan dan musim kemarau.</w:t>
      </w:r>
    </w:p>
    <w:p w:rsidR="00F76EE3" w:rsidRDefault="00001C93">
      <w:pPr>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Namun demikian, frekuensi ekstrem tampak tidak merata. Beberapa tah</w:t>
      </w:r>
      <w:r>
        <w:rPr>
          <w:rFonts w:ascii="Times New Roman" w:eastAsia="Times New Roman" w:hAnsi="Times New Roman" w:cs="Times New Roman"/>
          <w:sz w:val="24"/>
          <w:szCs w:val="24"/>
        </w:rPr>
        <w:t>un 2007, 2012, 2015, 2021, dan 2023 menunjukkan banyak kejadian hujan tinggi, ditandai dengan lebih banyak titik merah puncak tajam. Sebaliknya periode 2010, 2017, dan 2019 tampak lebih tenang, dengan lebih sedikit kejadian hujan di atas ambang ekstrem. Ni</w:t>
      </w:r>
      <w:r>
        <w:rPr>
          <w:rFonts w:ascii="Times New Roman" w:eastAsia="Times New Roman" w:hAnsi="Times New Roman" w:cs="Times New Roman"/>
          <w:sz w:val="24"/>
          <w:szCs w:val="24"/>
        </w:rPr>
        <w:t>lai tertinggi tercatat sebesar 180.8 mm/hari, sementara nilai terendah adalah 0.0 mm, yang menandakan hari-hari tanpa hujan (berawan atau cerah). Hal ini mencerminkan tipikal iklim daerah tropis yang memiliki rentang curah hujan sangat lebar. Terdapat pula</w:t>
      </w:r>
      <w:r>
        <w:rPr>
          <w:rFonts w:ascii="Times New Roman" w:eastAsia="Times New Roman" w:hAnsi="Times New Roman" w:cs="Times New Roman"/>
          <w:sz w:val="24"/>
          <w:szCs w:val="24"/>
        </w:rPr>
        <w:t xml:space="preserve"> indikasi bahwa sejak sekitar tahun 2012, frekuensi ekstrem cenderung lebih sering terjadi, meskipun fluktuasinya tetap tinggi dari tahun ke tahun.</w:t>
      </w:r>
    </w:p>
    <w:p w:rsidR="00F76EE3" w:rsidRDefault="00001C93">
      <w:pPr>
        <w:spacing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extent cx="5971540" cy="35560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971540" cy="3556000"/>
                    </a:xfrm>
                    <a:prstGeom prst="rect">
                      <a:avLst/>
                    </a:prstGeom>
                    <a:ln/>
                  </pic:spPr>
                </pic:pic>
              </a:graphicData>
            </a:graphic>
          </wp:inline>
        </w:drawing>
      </w:r>
    </w:p>
    <w:p w:rsidR="00F76EE3" w:rsidRDefault="00001C93">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Gambar 2. Histogram Distribusi Curah Hujan Harian </w:t>
      </w:r>
    </w:p>
    <w:p w:rsidR="00074F0A" w:rsidRDefault="00074F0A">
      <w:pPr>
        <w:spacing w:after="0"/>
        <w:jc w:val="center"/>
        <w:rPr>
          <w:rFonts w:ascii="Times New Roman" w:eastAsia="Times New Roman" w:hAnsi="Times New Roman" w:cs="Times New Roman"/>
          <w:sz w:val="24"/>
          <w:szCs w:val="24"/>
        </w:rPr>
      </w:pPr>
    </w:p>
    <w:p w:rsidR="00F76EE3" w:rsidRDefault="00001C93">
      <w:pPr>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Gambar 2 menampilkan histogram distribusi curah hujan h</w:t>
      </w:r>
      <w:r>
        <w:rPr>
          <w:rFonts w:ascii="Times New Roman" w:eastAsia="Times New Roman" w:hAnsi="Times New Roman" w:cs="Times New Roman"/>
          <w:sz w:val="24"/>
          <w:szCs w:val="24"/>
        </w:rPr>
        <w:t xml:space="preserve">arian dengan filter hingga 31 mm mencakup sebagian besar kejadian hujan harian berdasarkan data observasi. Distribusi ini sangat </w:t>
      </w:r>
      <w:r>
        <w:rPr>
          <w:rFonts w:ascii="Times New Roman" w:eastAsia="Times New Roman" w:hAnsi="Times New Roman" w:cs="Times New Roman"/>
          <w:i/>
          <w:sz w:val="24"/>
          <w:szCs w:val="24"/>
        </w:rPr>
        <w:t>left-skewed</w:t>
      </w:r>
      <w:r>
        <w:rPr>
          <w:rFonts w:ascii="Times New Roman" w:eastAsia="Times New Roman" w:hAnsi="Times New Roman" w:cs="Times New Roman"/>
          <w:sz w:val="24"/>
          <w:szCs w:val="24"/>
        </w:rPr>
        <w:t xml:space="preserve"> dalam tampilan histogram atau </w:t>
      </w:r>
      <w:r>
        <w:rPr>
          <w:rFonts w:ascii="Times New Roman" w:eastAsia="Times New Roman" w:hAnsi="Times New Roman" w:cs="Times New Roman"/>
          <w:i/>
          <w:sz w:val="24"/>
          <w:szCs w:val="24"/>
        </w:rPr>
        <w:t>positively skewed</w:t>
      </w:r>
      <w:r>
        <w:rPr>
          <w:rFonts w:ascii="Times New Roman" w:eastAsia="Times New Roman" w:hAnsi="Times New Roman" w:cs="Times New Roman"/>
          <w:sz w:val="24"/>
          <w:szCs w:val="24"/>
        </w:rPr>
        <w:t>, menunjukkan bahwa sebagian besar hari mengalami curah hujan rendah</w:t>
      </w:r>
      <w:r>
        <w:rPr>
          <w:rFonts w:ascii="Times New Roman" w:eastAsia="Times New Roman" w:hAnsi="Times New Roman" w:cs="Times New Roman"/>
          <w:sz w:val="24"/>
          <w:szCs w:val="24"/>
        </w:rPr>
        <w:t xml:space="preserve">. Bar kolom tertinggi terdapat pada rentang 0–2 mm, dengan frekuensi lebih dari 3.000 kejadian. Ini mengindikasikan bahwa mayoritas hari dalam periode pengamatan mengalami hujan sangat ringan, atau bahkan nyaris tidak ada hujan </w:t>
      </w:r>
      <w:proofErr w:type="gramStart"/>
      <w:r>
        <w:rPr>
          <w:rFonts w:ascii="Times New Roman" w:eastAsia="Times New Roman" w:hAnsi="Times New Roman" w:cs="Times New Roman"/>
          <w:sz w:val="24"/>
          <w:szCs w:val="24"/>
        </w:rPr>
        <w:t>sama</w:t>
      </w:r>
      <w:proofErr w:type="gramEnd"/>
      <w:r>
        <w:rPr>
          <w:rFonts w:ascii="Times New Roman" w:eastAsia="Times New Roman" w:hAnsi="Times New Roman" w:cs="Times New Roman"/>
          <w:sz w:val="24"/>
          <w:szCs w:val="24"/>
        </w:rPr>
        <w:t xml:space="preserve"> sekali. Seiring bertamb</w:t>
      </w:r>
      <w:r>
        <w:rPr>
          <w:rFonts w:ascii="Times New Roman" w:eastAsia="Times New Roman" w:hAnsi="Times New Roman" w:cs="Times New Roman"/>
          <w:sz w:val="24"/>
          <w:szCs w:val="24"/>
        </w:rPr>
        <w:t>ahnya curah hujan, frekuensi kejadian menurun secara drastis. Curah hujan di atas 10 mm/hari terjadi secara jauh lebih jarang, dan semakin sedikit menuju batas atas, yaitu sekitar 30 mm. Pola ini mencerminkan bahwa hujan sedang hingga lebat adalah kejadian</w:t>
      </w:r>
      <w:r>
        <w:rPr>
          <w:rFonts w:ascii="Times New Roman" w:eastAsia="Times New Roman" w:hAnsi="Times New Roman" w:cs="Times New Roman"/>
          <w:sz w:val="24"/>
          <w:szCs w:val="24"/>
        </w:rPr>
        <w:t xml:space="preserve"> relatif langka dibandingkan dengan hujan ringan.</w:t>
      </w:r>
    </w:p>
    <w:p w:rsidR="00F76EE3" w:rsidRDefault="00F76EE3">
      <w:pPr>
        <w:spacing w:before="240" w:after="240"/>
        <w:ind w:firstLine="720"/>
        <w:jc w:val="both"/>
        <w:rPr>
          <w:rFonts w:ascii="Times New Roman" w:eastAsia="Times New Roman" w:hAnsi="Times New Roman" w:cs="Times New Roman"/>
          <w:sz w:val="24"/>
          <w:szCs w:val="24"/>
        </w:rPr>
      </w:pPr>
    </w:p>
    <w:p w:rsidR="00F76EE3" w:rsidRDefault="00F76EE3">
      <w:pPr>
        <w:spacing w:before="240" w:after="240"/>
        <w:ind w:firstLine="720"/>
        <w:jc w:val="both"/>
        <w:rPr>
          <w:rFonts w:ascii="Times New Roman" w:eastAsia="Times New Roman" w:hAnsi="Times New Roman" w:cs="Times New Roman"/>
          <w:sz w:val="24"/>
          <w:szCs w:val="24"/>
        </w:rPr>
      </w:pPr>
    </w:p>
    <w:p w:rsidR="00F76EE3" w:rsidRDefault="00001C93">
      <w:pPr>
        <w:spacing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extent cx="5971540" cy="25400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71540" cy="2540000"/>
                    </a:xfrm>
                    <a:prstGeom prst="rect">
                      <a:avLst/>
                    </a:prstGeom>
                    <a:ln/>
                  </pic:spPr>
                </pic:pic>
              </a:graphicData>
            </a:graphic>
          </wp:inline>
        </w:drawing>
      </w:r>
    </w:p>
    <w:p w:rsidR="00F76EE3" w:rsidRDefault="00001C93">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Gambar 3. Boxplot Curah Hujan Harian Tiap Tahun</w:t>
      </w:r>
    </w:p>
    <w:p w:rsidR="00074F0A" w:rsidRDefault="00074F0A">
      <w:pPr>
        <w:spacing w:after="0"/>
        <w:jc w:val="center"/>
        <w:rPr>
          <w:rFonts w:ascii="Times New Roman" w:eastAsia="Times New Roman" w:hAnsi="Times New Roman" w:cs="Times New Roman"/>
          <w:sz w:val="24"/>
          <w:szCs w:val="24"/>
        </w:rPr>
      </w:pPr>
    </w:p>
    <w:p w:rsidR="00F76EE3" w:rsidRDefault="00001C93">
      <w:pPr>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Gambar 3 memperlihatkan sebaran curah hujan harian dari tahun 2005 hingga pertengahan 2025 dalam bentuk boxplot berwarna. Setiap kotak mewakili distribusi</w:t>
      </w:r>
      <w:r>
        <w:rPr>
          <w:rFonts w:ascii="Times New Roman" w:eastAsia="Times New Roman" w:hAnsi="Times New Roman" w:cs="Times New Roman"/>
          <w:sz w:val="24"/>
          <w:szCs w:val="24"/>
        </w:rPr>
        <w:t xml:space="preserve"> data curah hujan harian dalam satu tahun, di mana garis horizontal di dalam kotak menunjukkan nilai median curah hujan, batas bawah serta atas kotak menandai Q1 dan Q3. Warna kotak menggunakan gradasi untuk membedakan tahun secara visual memperjelas perbe</w:t>
      </w:r>
      <w:r>
        <w:rPr>
          <w:rFonts w:ascii="Times New Roman" w:eastAsia="Times New Roman" w:hAnsi="Times New Roman" w:cs="Times New Roman"/>
          <w:sz w:val="24"/>
          <w:szCs w:val="24"/>
        </w:rPr>
        <w:t xml:space="preserve">daan antar periode. Sebagian besar curah hujan harian berada di bawah 20 mm, sebagaimana ditunjukkan oleh posisi median dan batas atas kotak cenderung rendah. Ini menunjukkan bahwa kejadian ringan lebih dominan sepanjang tahun. Garis </w:t>
      </w:r>
      <w:proofErr w:type="gramStart"/>
      <w:r>
        <w:rPr>
          <w:rFonts w:ascii="Times New Roman" w:eastAsia="Times New Roman" w:hAnsi="Times New Roman" w:cs="Times New Roman"/>
          <w:sz w:val="24"/>
          <w:szCs w:val="24"/>
        </w:rPr>
        <w:t>bantu</w:t>
      </w:r>
      <w:proofErr w:type="gramEnd"/>
      <w:r>
        <w:rPr>
          <w:rFonts w:ascii="Times New Roman" w:eastAsia="Times New Roman" w:hAnsi="Times New Roman" w:cs="Times New Roman"/>
          <w:sz w:val="24"/>
          <w:szCs w:val="24"/>
        </w:rPr>
        <w:t xml:space="preserve"> horizontal berfu</w:t>
      </w:r>
      <w:r>
        <w:rPr>
          <w:rFonts w:ascii="Times New Roman" w:eastAsia="Times New Roman" w:hAnsi="Times New Roman" w:cs="Times New Roman"/>
          <w:sz w:val="24"/>
          <w:szCs w:val="24"/>
        </w:rPr>
        <w:t xml:space="preserve">ngsi sebagai referensi untuk mengidentifikasi tingkat intensitas hujan ringan, sedang, lebat hingga ekstrem. </w:t>
      </w:r>
    </w:p>
    <w:p w:rsidR="00F76EE3" w:rsidRDefault="00001C93">
      <w:pPr>
        <w:spacing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Salah satu aspek adalah keberadaan outlier tersebar di hampir setiap tahun selama periode 2005 hingga pertengahan 2025. Outlier dalam konteks ini </w:t>
      </w:r>
      <w:r>
        <w:rPr>
          <w:rFonts w:ascii="Times New Roman" w:eastAsia="Times New Roman" w:hAnsi="Times New Roman" w:cs="Times New Roman"/>
          <w:sz w:val="24"/>
          <w:szCs w:val="24"/>
        </w:rPr>
        <w:t>merupakan hari-hari dengan curah hujan harian jauh melampaui sebaran utama data, yaitu di luar rentang antar-kuartil dibatasi oleh batas atas dan bawah dari masing-masing boxplot. Outlier tersebut umumnya berada di atas 50 mm, sehingga klasifikasi termasuk</w:t>
      </w:r>
      <w:r>
        <w:rPr>
          <w:rFonts w:ascii="Times New Roman" w:eastAsia="Times New Roman" w:hAnsi="Times New Roman" w:cs="Times New Roman"/>
          <w:sz w:val="24"/>
          <w:szCs w:val="24"/>
        </w:rPr>
        <w:t xml:space="preserve"> dalam kategori hujan sedang hingga sangat lebat. Keberadaan titik-titik ini menunjukkan bahwa meskipun sebagian besar hari mengalami hujan ringan atau tidak hujan </w:t>
      </w:r>
      <w:proofErr w:type="gramStart"/>
      <w:r>
        <w:rPr>
          <w:rFonts w:ascii="Times New Roman" w:eastAsia="Times New Roman" w:hAnsi="Times New Roman" w:cs="Times New Roman"/>
          <w:sz w:val="24"/>
          <w:szCs w:val="24"/>
        </w:rPr>
        <w:t>sama</w:t>
      </w:r>
      <w:proofErr w:type="gramEnd"/>
      <w:r>
        <w:rPr>
          <w:rFonts w:ascii="Times New Roman" w:eastAsia="Times New Roman" w:hAnsi="Times New Roman" w:cs="Times New Roman"/>
          <w:sz w:val="24"/>
          <w:szCs w:val="24"/>
        </w:rPr>
        <w:t xml:space="preserve"> sekali, kejadian cuaca ekstrem tetap terjadi secara konsisten setiap tahun, meski freku</w:t>
      </w:r>
      <w:r>
        <w:rPr>
          <w:rFonts w:ascii="Times New Roman" w:eastAsia="Times New Roman" w:hAnsi="Times New Roman" w:cs="Times New Roman"/>
          <w:sz w:val="24"/>
          <w:szCs w:val="24"/>
        </w:rPr>
        <w:t>ensinya rendah. Beberapa tahun, yaitu 2007, 2013, dan 2025 menunjukkan outlier dengan intensitas sangat tinggi, melampaui 150 mm/hari, tergolong sebagai hujan ekstrem dalam konteks klimatologi tropis. Titik-titik ini bukan hanya deviasi statistik, tetapi j</w:t>
      </w:r>
      <w:r>
        <w:rPr>
          <w:rFonts w:ascii="Times New Roman" w:eastAsia="Times New Roman" w:hAnsi="Times New Roman" w:cs="Times New Roman"/>
          <w:sz w:val="24"/>
          <w:szCs w:val="24"/>
        </w:rPr>
        <w:t>uga indikator penting bagi perencanaan mitigasi risiko bencana hidrometeorologi</w:t>
      </w:r>
    </w:p>
    <w:p w:rsidR="00F76EE3" w:rsidRDefault="00001C93">
      <w:pPr>
        <w:spacing w:after="0"/>
        <w:rPr>
          <w:rFonts w:ascii="Times New Roman" w:eastAsia="Times New Roman" w:hAnsi="Times New Roman" w:cs="Times New Roman"/>
          <w:sz w:val="24"/>
          <w:szCs w:val="24"/>
        </w:rPr>
      </w:pPr>
      <w:bookmarkStart w:id="0" w:name="_GoBack"/>
      <w:r>
        <w:rPr>
          <w:rFonts w:ascii="Times New Roman" w:eastAsia="Times New Roman" w:hAnsi="Times New Roman" w:cs="Times New Roman"/>
          <w:noProof/>
          <w:sz w:val="24"/>
          <w:szCs w:val="24"/>
        </w:rPr>
        <w:lastRenderedPageBreak/>
        <w:drawing>
          <wp:inline distT="114300" distB="114300" distL="114300" distR="114300">
            <wp:extent cx="4995193" cy="2558053"/>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4995193" cy="2558053"/>
                    </a:xfrm>
                    <a:prstGeom prst="rect">
                      <a:avLst/>
                    </a:prstGeom>
                    <a:ln/>
                  </pic:spPr>
                </pic:pic>
              </a:graphicData>
            </a:graphic>
          </wp:inline>
        </w:drawing>
      </w:r>
      <w:bookmarkEnd w:id="0"/>
    </w:p>
    <w:p w:rsidR="00F76EE3" w:rsidRDefault="00001C93">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Gambar 4. Pergeseran Pola Curah Hujan Bulanan Beberapa Periode</w:t>
      </w:r>
    </w:p>
    <w:p w:rsidR="00074F0A" w:rsidRDefault="00074F0A">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2020</w:t>
      </w:r>
    </w:p>
    <w:p w:rsidR="00074F0A" w:rsidRDefault="00074F0A">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2021</w:t>
      </w:r>
    </w:p>
    <w:p w:rsidR="00074F0A" w:rsidRDefault="00074F0A">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2022</w:t>
      </w:r>
    </w:p>
    <w:p w:rsidR="00074F0A" w:rsidRDefault="00074F0A">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2023</w:t>
      </w:r>
    </w:p>
    <w:p w:rsidR="00074F0A" w:rsidRDefault="00074F0A">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2024</w:t>
      </w:r>
    </w:p>
    <w:p w:rsidR="00074F0A" w:rsidRDefault="00074F0A">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2005 – 2025</w:t>
      </w:r>
    </w:p>
    <w:p w:rsidR="00074F0A" w:rsidRDefault="00074F0A">
      <w:pPr>
        <w:spacing w:after="0"/>
        <w:jc w:val="center"/>
        <w:rPr>
          <w:rFonts w:ascii="Times New Roman" w:eastAsia="Times New Roman" w:hAnsi="Times New Roman" w:cs="Times New Roman"/>
          <w:sz w:val="24"/>
          <w:szCs w:val="24"/>
        </w:rPr>
      </w:pPr>
    </w:p>
    <w:p w:rsidR="00133BAE" w:rsidRDefault="00133BAE">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Per tiga bulan</w:t>
      </w:r>
    </w:p>
    <w:p w:rsidR="00133BAE" w:rsidRDefault="00133BAE">
      <w:pPr>
        <w:spacing w:after="0"/>
        <w:jc w:val="center"/>
        <w:rPr>
          <w:rFonts w:ascii="Times New Roman" w:eastAsia="Times New Roman" w:hAnsi="Times New Roman" w:cs="Times New Roman"/>
          <w:sz w:val="24"/>
          <w:szCs w:val="24"/>
        </w:rPr>
      </w:pPr>
    </w:p>
    <w:p w:rsidR="00133BAE" w:rsidRDefault="00133BAE">
      <w:pPr>
        <w:spacing w:after="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016559" cy="4474193"/>
            <wp:effectExtent l="0" t="0" r="317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17335" cy="4475058"/>
                    </a:xfrm>
                    <a:prstGeom prst="rect">
                      <a:avLst/>
                    </a:prstGeom>
                    <a:noFill/>
                    <a:ln>
                      <a:noFill/>
                    </a:ln>
                  </pic:spPr>
                </pic:pic>
              </a:graphicData>
            </a:graphic>
          </wp:inline>
        </w:drawing>
      </w:r>
    </w:p>
    <w:p w:rsidR="00F76EE3" w:rsidRDefault="00001C93">
      <w:pPr>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Gambar 4 menampilkan perbandingan rata-rata curah hujan bulanan berdasarkan tahun hidrologi Desember–Novembe ti</w:t>
      </w:r>
      <w:r>
        <w:rPr>
          <w:rFonts w:ascii="Times New Roman" w:eastAsia="Times New Roman" w:hAnsi="Times New Roman" w:cs="Times New Roman"/>
          <w:sz w:val="24"/>
          <w:szCs w:val="24"/>
        </w:rPr>
        <w:t xml:space="preserve">ga periode berbeda: 1 Tahun (2024) diwakili oleh garis biru solid, 3 Tahun (2022–2024) dengan garis ungu putus-putus, dan 5 Tahun (2020–2024) dengan garis oranye titik-putus.  Dari visualisasi tersebut, terlihat bahwa musim puncak hujan cenderung bergeser </w:t>
      </w:r>
      <w:r>
        <w:rPr>
          <w:rFonts w:ascii="Times New Roman" w:eastAsia="Times New Roman" w:hAnsi="Times New Roman" w:cs="Times New Roman"/>
          <w:sz w:val="24"/>
          <w:szCs w:val="24"/>
        </w:rPr>
        <w:t>ke ujung tahun. Pada tahun 2024, puncak curah hujan terjadi pada bulan November, Desember, berbeda dari periode rata-rata 3 - 5 tahun di mana puncak hujan lebih menyebar di awal dan akhir tahun, khususnya di bulan Desember dan Januari, dengan intensitas re</w:t>
      </w:r>
      <w:r>
        <w:rPr>
          <w:rFonts w:ascii="Times New Roman" w:eastAsia="Times New Roman" w:hAnsi="Times New Roman" w:cs="Times New Roman"/>
          <w:sz w:val="24"/>
          <w:szCs w:val="24"/>
        </w:rPr>
        <w:t>latif lebih rendah. Hal ini mengindikasikan bahwa musim hujan utama tahun 2024 datang lebih terlambat lebih tajam dibandingkan tren beberapa tahun terakhir. Pola curah hujan tahun 2024 juga menunjukkan musim kemarau panjang. Nilai curah hujan terendah terj</w:t>
      </w:r>
      <w:r>
        <w:rPr>
          <w:rFonts w:ascii="Times New Roman" w:eastAsia="Times New Roman" w:hAnsi="Times New Roman" w:cs="Times New Roman"/>
          <w:sz w:val="24"/>
          <w:szCs w:val="24"/>
        </w:rPr>
        <w:t xml:space="preserve">adi pada bulan Juli dengan jumlah di bawah 1 mm, jauh lebih rendah dibandingkan periode 3 dan 5 tahun masih mencatat curah hujan sebesar 2 hingga 4 mm pada bulan Juni hingga Agustus. Ini menunjukkan bahwa kemarau tahun 2024 lebih ekstrim dibandingkan pola </w:t>
      </w:r>
      <w:r>
        <w:rPr>
          <w:rFonts w:ascii="Times New Roman" w:eastAsia="Times New Roman" w:hAnsi="Times New Roman" w:cs="Times New Roman"/>
          <w:sz w:val="24"/>
          <w:szCs w:val="24"/>
        </w:rPr>
        <w:t>sebelumnya.</w:t>
      </w:r>
    </w:p>
    <w:p w:rsidR="00F76EE3" w:rsidRDefault="00001C93">
      <w:pPr>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Fluktuasi curah hujan antar bulan pada tahun 2024 tampak jauh lebih tajam. Setelah penurunan cepat dari Desember ke Februari, terjadi peningkatan mendadak di bulan Agustus dan lonjakan tinggi pada bulan November. Sebaliknya, kurva rata-rata 3 d</w:t>
      </w:r>
      <w:r>
        <w:rPr>
          <w:rFonts w:ascii="Times New Roman" w:eastAsia="Times New Roman" w:hAnsi="Times New Roman" w:cs="Times New Roman"/>
          <w:sz w:val="24"/>
          <w:szCs w:val="24"/>
        </w:rPr>
        <w:t xml:space="preserve">an 5 tahun menunjukkan transisi lebih halus, mencerminkan pola musim hujan dan kemarau lebih stabil. Pola hujan tidak menentu seperti tahun 2024 dapat menyulitkan dalam perencanaan musim tanam, pengelolaan air, dan mitigasi risiko iklim. </w:t>
      </w:r>
    </w:p>
    <w:p w:rsidR="00F76EE3" w:rsidRDefault="00F76EE3">
      <w:pPr>
        <w:spacing w:after="0"/>
        <w:rPr>
          <w:rFonts w:ascii="Times New Roman" w:eastAsia="Times New Roman" w:hAnsi="Times New Roman" w:cs="Times New Roman"/>
          <w:sz w:val="24"/>
          <w:szCs w:val="24"/>
        </w:rPr>
      </w:pPr>
    </w:p>
    <w:p w:rsidR="00F76EE3" w:rsidRDefault="00F76EE3">
      <w:pPr>
        <w:spacing w:after="0"/>
        <w:rPr>
          <w:rFonts w:ascii="Times New Roman" w:eastAsia="Times New Roman" w:hAnsi="Times New Roman" w:cs="Times New Roman"/>
          <w:sz w:val="24"/>
          <w:szCs w:val="24"/>
        </w:rPr>
      </w:pPr>
    </w:p>
    <w:p w:rsidR="00F76EE3" w:rsidRDefault="00F76EE3">
      <w:pPr>
        <w:spacing w:after="0"/>
        <w:rPr>
          <w:rFonts w:ascii="Times New Roman" w:eastAsia="Times New Roman" w:hAnsi="Times New Roman" w:cs="Times New Roman"/>
          <w:sz w:val="24"/>
          <w:szCs w:val="24"/>
        </w:rPr>
      </w:pPr>
    </w:p>
    <w:p w:rsidR="00F76EE3" w:rsidRDefault="00001C93">
      <w:pPr>
        <w:spacing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971540" cy="35687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971540" cy="3568700"/>
                    </a:xfrm>
                    <a:prstGeom prst="rect">
                      <a:avLst/>
                    </a:prstGeom>
                    <a:ln/>
                  </pic:spPr>
                </pic:pic>
              </a:graphicData>
            </a:graphic>
          </wp:inline>
        </w:drawing>
      </w:r>
    </w:p>
    <w:p w:rsidR="00F76EE3" w:rsidRDefault="00001C93">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Gambar 5. Distribusi Curah Hujan Tiap Kuartal</w:t>
      </w:r>
    </w:p>
    <w:p w:rsidR="00F76EE3" w:rsidRDefault="00001C93">
      <w:pPr>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Gambar 5 menampilkan distribusi curah hujan harian dikelompokkan berdasarkan kuartal (Q1: Januari–Maret, Q2: April–Juni, Q3: Juli–September, Q4: Oktober–Desember). Setiap boxplot menggambarkan sebaran statistik</w:t>
      </w:r>
      <w:r>
        <w:rPr>
          <w:rFonts w:ascii="Times New Roman" w:eastAsia="Times New Roman" w:hAnsi="Times New Roman" w:cs="Times New Roman"/>
          <w:sz w:val="24"/>
          <w:szCs w:val="24"/>
        </w:rPr>
        <w:t xml:space="preserve"> data harian dalam masing-masing kuartal, termasuk median, rentang antar kuartil, keberadaan nilai ekstrem. Dari keempat kuartal, terlihat bahwa Q4 (Oktober–Desember) memiliki median curah hujan tertinggi yaitu 5</w:t>
      </w:r>
      <w:proofErr w:type="gramStart"/>
      <w:r>
        <w:rPr>
          <w:rFonts w:ascii="Times New Roman" w:eastAsia="Times New Roman" w:hAnsi="Times New Roman" w:cs="Times New Roman"/>
          <w:sz w:val="24"/>
          <w:szCs w:val="24"/>
        </w:rPr>
        <w:t>,0</w:t>
      </w:r>
      <w:proofErr w:type="gramEnd"/>
      <w:r>
        <w:rPr>
          <w:rFonts w:ascii="Times New Roman" w:eastAsia="Times New Roman" w:hAnsi="Times New Roman" w:cs="Times New Roman"/>
          <w:sz w:val="24"/>
          <w:szCs w:val="24"/>
        </w:rPr>
        <w:t xml:space="preserve"> mm, secara signifikan lebih besar dibandi</w:t>
      </w:r>
      <w:r>
        <w:rPr>
          <w:rFonts w:ascii="Times New Roman" w:eastAsia="Times New Roman" w:hAnsi="Times New Roman" w:cs="Times New Roman"/>
          <w:sz w:val="24"/>
          <w:szCs w:val="24"/>
        </w:rPr>
        <w:t>ngkan kuartal lainnya. Hal ini mengindikasikan bahwa musim hujan utama cenderung terjadi pada kuartal terakhir, mendukung temuan sebelumnya bahwa puncak hujan bergeser ke akhir tahun. Sebaran Q4 juga menunjukkan lebih banyak outlier di atas 50 mm, bahkan b</w:t>
      </w:r>
      <w:r>
        <w:rPr>
          <w:rFonts w:ascii="Times New Roman" w:eastAsia="Times New Roman" w:hAnsi="Times New Roman" w:cs="Times New Roman"/>
          <w:sz w:val="24"/>
          <w:szCs w:val="24"/>
        </w:rPr>
        <w:t>eberapa titik mendekati atau melebihi 180 mm/hari, termasuk kategori hujan ekstrem.</w:t>
      </w:r>
    </w:p>
    <w:p w:rsidR="00F76EE3" w:rsidRDefault="00001C93">
      <w:pPr>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Sebaliknya, Q3 (Juli–September) memiliki median terendah, hanya 2</w:t>
      </w:r>
      <w:proofErr w:type="gramStart"/>
      <w:r>
        <w:rPr>
          <w:rFonts w:ascii="Times New Roman" w:eastAsia="Times New Roman" w:hAnsi="Times New Roman" w:cs="Times New Roman"/>
          <w:sz w:val="24"/>
          <w:szCs w:val="24"/>
        </w:rPr>
        <w:t>,0</w:t>
      </w:r>
      <w:proofErr w:type="gramEnd"/>
      <w:r>
        <w:rPr>
          <w:rFonts w:ascii="Times New Roman" w:eastAsia="Times New Roman" w:hAnsi="Times New Roman" w:cs="Times New Roman"/>
          <w:sz w:val="24"/>
          <w:szCs w:val="24"/>
        </w:rPr>
        <w:t xml:space="preserve"> mm, menunjukkan bahwa periode ini merupakan musim kemarau relatif kering. Q1 dan Q2 masing-masing memili</w:t>
      </w:r>
      <w:r>
        <w:rPr>
          <w:rFonts w:ascii="Times New Roman" w:eastAsia="Times New Roman" w:hAnsi="Times New Roman" w:cs="Times New Roman"/>
          <w:sz w:val="24"/>
          <w:szCs w:val="24"/>
        </w:rPr>
        <w:t>ki median 2,8 mm dan 2,7 mm, menunjukkan curah hujan rendah hingga sedang, namun dengan variabilitas cukup besar ditandai oleh kehadiran banyak outlier. Secara keseluruhan, grafik ini memperjelas kontras musiman antara kuartal basah dan kering di wilayah p</w:t>
      </w:r>
      <w:r>
        <w:rPr>
          <w:rFonts w:ascii="Times New Roman" w:eastAsia="Times New Roman" w:hAnsi="Times New Roman" w:cs="Times New Roman"/>
          <w:sz w:val="24"/>
          <w:szCs w:val="24"/>
        </w:rPr>
        <w:t xml:space="preserve">engamatan. Kuartal keempat mendominasi sebagai periode dengan curah hujan tertinggi dan kejadian hujan ekstrem terbanyak, sementara kuartal ketiga merupakan periode paling kering. Temuan ini relevan untuk mendukung strategi adaptasi pertanian, pengelolaan </w:t>
      </w:r>
      <w:r>
        <w:rPr>
          <w:rFonts w:ascii="Times New Roman" w:eastAsia="Times New Roman" w:hAnsi="Times New Roman" w:cs="Times New Roman"/>
          <w:sz w:val="24"/>
          <w:szCs w:val="24"/>
        </w:rPr>
        <w:t>air, serta mitigasi risiko bencana berbasis musim.</w:t>
      </w:r>
    </w:p>
    <w:p w:rsidR="00F76EE3" w:rsidRDefault="00F76EE3">
      <w:pPr>
        <w:spacing w:after="0"/>
        <w:ind w:firstLine="720"/>
        <w:jc w:val="both"/>
        <w:rPr>
          <w:rFonts w:ascii="Times New Roman" w:eastAsia="Times New Roman" w:hAnsi="Times New Roman" w:cs="Times New Roman"/>
          <w:sz w:val="24"/>
          <w:szCs w:val="24"/>
        </w:rPr>
      </w:pPr>
    </w:p>
    <w:p w:rsidR="00F76EE3" w:rsidRDefault="00F76EE3">
      <w:pPr>
        <w:spacing w:after="0"/>
        <w:ind w:firstLine="720"/>
        <w:jc w:val="both"/>
        <w:rPr>
          <w:rFonts w:ascii="Times New Roman" w:eastAsia="Times New Roman" w:hAnsi="Times New Roman" w:cs="Times New Roman"/>
          <w:sz w:val="24"/>
          <w:szCs w:val="24"/>
        </w:rPr>
      </w:pPr>
    </w:p>
    <w:p w:rsidR="00F76EE3" w:rsidRDefault="00F76EE3">
      <w:pPr>
        <w:spacing w:after="0"/>
        <w:ind w:firstLine="720"/>
        <w:jc w:val="both"/>
        <w:rPr>
          <w:rFonts w:ascii="Times New Roman" w:eastAsia="Times New Roman" w:hAnsi="Times New Roman" w:cs="Times New Roman"/>
          <w:sz w:val="24"/>
          <w:szCs w:val="24"/>
        </w:rPr>
      </w:pPr>
    </w:p>
    <w:p w:rsidR="00F76EE3" w:rsidRDefault="00F76EE3">
      <w:pPr>
        <w:spacing w:after="0"/>
        <w:ind w:firstLine="720"/>
        <w:jc w:val="both"/>
        <w:rPr>
          <w:rFonts w:ascii="Times New Roman" w:eastAsia="Times New Roman" w:hAnsi="Times New Roman" w:cs="Times New Roman"/>
          <w:sz w:val="24"/>
          <w:szCs w:val="24"/>
        </w:rPr>
      </w:pPr>
    </w:p>
    <w:p w:rsidR="00F76EE3" w:rsidRDefault="00001C93">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3419475" cy="312928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t="12391"/>
                    <a:stretch>
                      <a:fillRect/>
                    </a:stretch>
                  </pic:blipFill>
                  <pic:spPr>
                    <a:xfrm>
                      <a:off x="0" y="0"/>
                      <a:ext cx="3419475" cy="3129280"/>
                    </a:xfrm>
                    <a:prstGeom prst="rect">
                      <a:avLst/>
                    </a:prstGeom>
                    <a:ln/>
                  </pic:spPr>
                </pic:pic>
              </a:graphicData>
            </a:graphic>
          </wp:inline>
        </w:drawing>
      </w:r>
    </w:p>
    <w:p w:rsidR="00F76EE3" w:rsidRDefault="00001C93">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Gambar 6. Komposisi Kualitas Data</w:t>
      </w:r>
    </w:p>
    <w:p w:rsidR="00F76EE3" w:rsidRDefault="00001C93">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Gambar ini menyajikan ringkasan visual mengenai komposisi kualitas data curah hujan harian dari total 7.784 data observasi. Diagram donut dibagi menjadi tiga kategor</w:t>
      </w:r>
      <w:r>
        <w:rPr>
          <w:rFonts w:ascii="Times New Roman" w:eastAsia="Times New Roman" w:hAnsi="Times New Roman" w:cs="Times New Roman"/>
          <w:sz w:val="24"/>
          <w:szCs w:val="24"/>
        </w:rPr>
        <w:t>i utama: data valid, data missing, dan nilai zero, masing-masing diberi warna hijau, merah, kuning untuk mempermudah identifikasi visual. Sebagian besar data berada dalam kategori valid sebesar 4.944 data (63</w:t>
      </w:r>
      <w:proofErr w:type="gramStart"/>
      <w:r>
        <w:rPr>
          <w:rFonts w:ascii="Times New Roman" w:eastAsia="Times New Roman" w:hAnsi="Times New Roman" w:cs="Times New Roman"/>
          <w:sz w:val="24"/>
          <w:szCs w:val="24"/>
        </w:rPr>
        <w:t>,5</w:t>
      </w:r>
      <w:proofErr w:type="gramEnd"/>
      <w:r>
        <w:rPr>
          <w:rFonts w:ascii="Times New Roman" w:eastAsia="Times New Roman" w:hAnsi="Times New Roman" w:cs="Times New Roman"/>
          <w:sz w:val="24"/>
          <w:szCs w:val="24"/>
        </w:rPr>
        <w:t xml:space="preserve">%), berarti lebih dari setengah dataset dapat </w:t>
      </w:r>
      <w:r>
        <w:rPr>
          <w:rFonts w:ascii="Times New Roman" w:eastAsia="Times New Roman" w:hAnsi="Times New Roman" w:cs="Times New Roman"/>
          <w:sz w:val="24"/>
          <w:szCs w:val="24"/>
        </w:rPr>
        <w:t>langsung digunakan untuk analisis tanpa perlu perlakuan khusus. Terdapat 2.840 data (36</w:t>
      </w:r>
      <w:proofErr w:type="gramStart"/>
      <w:r>
        <w:rPr>
          <w:rFonts w:ascii="Times New Roman" w:eastAsia="Times New Roman" w:hAnsi="Times New Roman" w:cs="Times New Roman"/>
          <w:sz w:val="24"/>
          <w:szCs w:val="24"/>
        </w:rPr>
        <w:t>,5</w:t>
      </w:r>
      <w:proofErr w:type="gramEnd"/>
      <w:r>
        <w:rPr>
          <w:rFonts w:ascii="Times New Roman" w:eastAsia="Times New Roman" w:hAnsi="Times New Roman" w:cs="Times New Roman"/>
          <w:sz w:val="24"/>
          <w:szCs w:val="24"/>
        </w:rPr>
        <w:t>%) dikategorikan sebagai missing, yaitu gabungan dari nilai tidak terukur yaitu kode 8888 NaN. Ini merupakan proporsi cukup besar dan menjadi perhatian penting dalam p</w:t>
      </w:r>
      <w:r>
        <w:rPr>
          <w:rFonts w:ascii="Times New Roman" w:eastAsia="Times New Roman" w:hAnsi="Times New Roman" w:cs="Times New Roman"/>
          <w:sz w:val="24"/>
          <w:szCs w:val="24"/>
        </w:rPr>
        <w:t>roses preprocessing serta validasi model prediksi ke depan. Terdapat 1.686 data (21</w:t>
      </w:r>
      <w:proofErr w:type="gramStart"/>
      <w:r>
        <w:rPr>
          <w:rFonts w:ascii="Times New Roman" w:eastAsia="Times New Roman" w:hAnsi="Times New Roman" w:cs="Times New Roman"/>
          <w:sz w:val="24"/>
          <w:szCs w:val="24"/>
        </w:rPr>
        <w:t>,7</w:t>
      </w:r>
      <w:proofErr w:type="gramEnd"/>
      <w:r>
        <w:rPr>
          <w:rFonts w:ascii="Times New Roman" w:eastAsia="Times New Roman" w:hAnsi="Times New Roman" w:cs="Times New Roman"/>
          <w:sz w:val="24"/>
          <w:szCs w:val="24"/>
        </w:rPr>
        <w:t>%) bernilai nol, menandakan hari-hari tanpa curah hujan. Nilai nol ini bukan termasuk data hilang, tetapi penting secara klimatologis karena merepresentasikan kondisi bera</w:t>
      </w:r>
      <w:r>
        <w:rPr>
          <w:rFonts w:ascii="Times New Roman" w:eastAsia="Times New Roman" w:hAnsi="Times New Roman" w:cs="Times New Roman"/>
          <w:sz w:val="24"/>
          <w:szCs w:val="24"/>
        </w:rPr>
        <w:t>wan atau kering. Nilai-nilai ini harus diperlakukan secara berbeda dari data hilang karena memiliki arti meteorologis valid.</w:t>
      </w:r>
    </w:p>
    <w:sectPr w:rsidR="00F76EE3">
      <w:footerReference w:type="default" r:id="rId14"/>
      <w:pgSz w:w="12240" w:h="15840"/>
      <w:pgMar w:top="1418" w:right="1418" w:bottom="1418" w:left="1418" w:header="709" w:footer="709"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1C93" w:rsidRDefault="00001C93">
      <w:pPr>
        <w:spacing w:after="0" w:line="240" w:lineRule="auto"/>
      </w:pPr>
      <w:r>
        <w:separator/>
      </w:r>
    </w:p>
  </w:endnote>
  <w:endnote w:type="continuationSeparator" w:id="0">
    <w:p w:rsidR="00001C93" w:rsidRDefault="00001C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76EE3" w:rsidRDefault="00F76EE3"/>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1C93" w:rsidRDefault="00001C93">
      <w:pPr>
        <w:spacing w:after="0" w:line="240" w:lineRule="auto"/>
      </w:pPr>
      <w:r>
        <w:separator/>
      </w:r>
    </w:p>
  </w:footnote>
  <w:footnote w:type="continuationSeparator" w:id="0">
    <w:p w:rsidR="00001C93" w:rsidRDefault="00001C9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5DF7B67"/>
    <w:multiLevelType w:val="multilevel"/>
    <w:tmpl w:val="BD96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52"/>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6EE3"/>
    <w:rsid w:val="00001C93"/>
    <w:rsid w:val="00074F0A"/>
    <w:rsid w:val="00133BAE"/>
    <w:rsid w:val="00F76E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C1CDC69-C8CE-4749-AEF8-29E30E6BF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8</Pages>
  <Words>1321</Words>
  <Characters>7533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cp:lastModifiedBy>
  <cp:revision>2</cp:revision>
  <dcterms:created xsi:type="dcterms:W3CDTF">2025-07-14T09:43:00Z</dcterms:created>
  <dcterms:modified xsi:type="dcterms:W3CDTF">2025-07-14T09:58:00Z</dcterms:modified>
</cp:coreProperties>
</file>