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7A64" w14:textId="63989B70" w:rsidR="001552EF" w:rsidRDefault="001552EF">
      <w:pPr>
        <w:rPr>
          <w:lang w:val="en-US"/>
        </w:rPr>
      </w:pPr>
      <w:r>
        <w:rPr>
          <w:lang w:val="en-US"/>
        </w:rPr>
        <w:t>Rumus sementara pareto</w:t>
      </w:r>
    </w:p>
    <w:p w14:paraId="5BF47455" w14:textId="77777777" w:rsidR="001552EF" w:rsidRPr="006F212B" w:rsidRDefault="001552EF" w:rsidP="001552EF">
      <w:pPr>
        <w:pStyle w:val="Heading3"/>
        <w:spacing w:line="360" w:lineRule="auto"/>
        <w:ind w:left="567" w:hanging="567"/>
        <w:rPr>
          <w:lang w:val="en-US"/>
        </w:rPr>
      </w:pPr>
      <w:r>
        <w:rPr>
          <w:lang w:val="en-US"/>
        </w:rPr>
        <w:t>Penerapan Metode Pareto ABC</w:t>
      </w:r>
    </w:p>
    <w:p w14:paraId="4C1FDB03" w14:textId="77777777" w:rsidR="001552EF" w:rsidRDefault="001552EF" w:rsidP="001552EF">
      <w:pPr>
        <w:spacing w:line="360" w:lineRule="auto"/>
        <w:ind w:firstLine="567"/>
        <w:jc w:val="both"/>
        <w:rPr>
          <w:lang w:val="en-US"/>
        </w:rPr>
      </w:pPr>
      <w:r w:rsidRPr="006F212B">
        <w:rPr>
          <w:lang w:val="id-ID"/>
        </w:rPr>
        <w:t>Metode analisis Pareto ABC mencakup tiga aspek utama: analisis nilai pakai, analisis nilai investasi, dan analisis indeks kritis. Nilai pakai dihitung berdasarkan total penggunaan dalam satu periode, yang kemudian diurutkan dari yang tertinggi hingga terendah</w:t>
      </w:r>
      <w:r>
        <w:rPr>
          <w:lang w:val="en-US"/>
        </w:rPr>
        <w:t xml:space="preserve"> </w:t>
      </w:r>
      <w:sdt>
        <w:sdtPr>
          <w:rPr>
            <w:color w:val="000000"/>
            <w:sz w:val="24"/>
            <w:lang w:val="en-US"/>
          </w:rPr>
          <w:tag w:val="MENDELEY_CITATION_v3_eyJjaXRhdGlvbklEIjoiTUVOREVMRVlfQ0lUQVRJT05fMmJmM2I1YTgtZmI3OS00N2ZlLWFiZjctNzg2YmFhMzg4NWI1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=="/>
          <w:id w:val="623275467"/>
          <w:placeholder>
            <w:docPart w:val="31A91AE3ADE7426EB6FD69EE7A49CF91"/>
          </w:placeholder>
        </w:sdtPr>
        <w:sdtContent>
          <w:r w:rsidRPr="006F212B">
            <w:rPr>
              <w:rFonts w:eastAsia="Times New Roman"/>
              <w:color w:val="000000"/>
              <w:sz w:val="24"/>
            </w:rPr>
            <w:t>(Susilo Romadhon &amp; Zaenal Mustofa, 2024)</w:t>
          </w:r>
        </w:sdtContent>
      </w:sdt>
      <w:r w:rsidRPr="006F212B">
        <w:rPr>
          <w:lang w:val="id-ID"/>
        </w:rPr>
        <w:t>. Setelah data item disusun, persentase pe</w:t>
      </w:r>
      <w:r>
        <w:rPr>
          <w:lang w:val="en-US"/>
        </w:rPr>
        <w:t>maiannya</w:t>
      </w:r>
      <w:r w:rsidRPr="006F212B">
        <w:rPr>
          <w:lang w:val="id-ID"/>
        </w:rPr>
        <w:t xml:space="preserve"> dihitung menggunakan rumus berikut: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120"/>
      </w:tblGrid>
      <w:tr w:rsidR="001552EF" w:rsidRPr="00356E5F" w14:paraId="2FCEA896" w14:textId="77777777" w:rsidTr="00226044">
        <w:tc>
          <w:tcPr>
            <w:tcW w:w="5807" w:type="dxa"/>
          </w:tcPr>
          <w:p w14:paraId="7D21DEC6" w14:textId="77777777" w:rsidR="001552EF" w:rsidRPr="00356E5F" w:rsidRDefault="001552EF" w:rsidP="00226044">
            <w:pPr>
              <w:spacing w:line="360" w:lineRule="auto"/>
              <w:jc w:val="center"/>
              <w:rPr>
                <w:color w:val="auto"/>
                <w:u w:val="none"/>
                <w:lang w:val="en-US"/>
              </w:rPr>
            </w:pPr>
            <w:r>
              <w:rPr>
                <w:rFonts w:eastAsiaTheme="minorEastAsia" w:cstheme="minorBidi"/>
                <w:color w:val="auto"/>
                <w:u w:val="none"/>
                <w:lang w:val="en-US"/>
              </w:rPr>
              <w:t xml:space="preserve">Presentase Pemakaian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u w:val="none"/>
                      <w:lang w:val="en-US"/>
                    </w:rPr>
                    <m:t>x∕∑</m:t>
                  </m:r>
                  <m:r>
                    <w:rPr>
                      <w:rFonts w:ascii="Cambria Math" w:hAnsi="Cambria Math"/>
                      <w:color w:val="auto"/>
                      <w:u w:val="none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auto"/>
                  <w:u w:val="none"/>
                  <w:lang w:val="en-US"/>
                </w:rPr>
                <m:t>×100%</m:t>
              </m:r>
            </m:oMath>
          </w:p>
        </w:tc>
        <w:tc>
          <w:tcPr>
            <w:tcW w:w="2120" w:type="dxa"/>
          </w:tcPr>
          <w:p w14:paraId="176C4639" w14:textId="77777777" w:rsidR="001552EF" w:rsidRPr="00356E5F" w:rsidRDefault="001552EF" w:rsidP="00226044">
            <w:pPr>
              <w:pStyle w:val="Caption"/>
              <w:jc w:val="right"/>
              <w:rPr>
                <w:color w:val="auto"/>
                <w:u w:val="none"/>
                <w:lang w:val="en-US"/>
              </w:rPr>
            </w:pPr>
            <w:r>
              <w:rPr>
                <w:color w:val="auto"/>
                <w:u w:val="none"/>
                <w:lang w:val="en-US"/>
              </w:rPr>
              <w:t>(</w:t>
            </w:r>
            <w:r>
              <w:rPr>
                <w:color w:val="auto"/>
                <w:u w:val="none"/>
                <w:lang w:val="en-US"/>
              </w:rPr>
              <w:fldChar w:fldCharType="begin"/>
            </w:r>
            <w:r>
              <w:rPr>
                <w:color w:val="auto"/>
                <w:u w:val="none"/>
                <w:lang w:val="en-US"/>
              </w:rPr>
              <w:instrText xml:space="preserve"> STYLEREF 1 \s </w:instrText>
            </w:r>
            <w:r>
              <w:rPr>
                <w:color w:val="auto"/>
                <w:u w:val="none"/>
                <w:lang w:val="en-US"/>
              </w:rPr>
              <w:fldChar w:fldCharType="separate"/>
            </w:r>
            <w:r>
              <w:rPr>
                <w:noProof/>
                <w:color w:val="auto"/>
                <w:u w:val="none"/>
                <w:cs/>
                <w:lang w:val="en-US"/>
              </w:rPr>
              <w:t>‎</w:t>
            </w:r>
            <w:r>
              <w:rPr>
                <w:noProof/>
                <w:color w:val="auto"/>
                <w:u w:val="none"/>
                <w:lang w:val="en-US"/>
              </w:rPr>
              <w:t>2</w:t>
            </w:r>
            <w:r>
              <w:rPr>
                <w:color w:val="auto"/>
                <w:u w:val="none"/>
                <w:lang w:val="en-US"/>
              </w:rPr>
              <w:fldChar w:fldCharType="end"/>
            </w:r>
            <w:r>
              <w:rPr>
                <w:color w:val="auto"/>
                <w:u w:val="none"/>
                <w:lang w:val="en-US"/>
              </w:rPr>
              <w:t>.</w:t>
            </w:r>
            <w:r>
              <w:rPr>
                <w:color w:val="auto"/>
                <w:u w:val="none"/>
                <w:lang w:val="en-US"/>
              </w:rPr>
              <w:fldChar w:fldCharType="begin"/>
            </w:r>
            <w:r>
              <w:rPr>
                <w:color w:val="auto"/>
                <w:u w:val="none"/>
                <w:lang w:val="en-US"/>
              </w:rPr>
              <w:instrText xml:space="preserve"> SEQ Rumus \* ARABIC \s 1 </w:instrText>
            </w:r>
            <w:r>
              <w:rPr>
                <w:color w:val="auto"/>
                <w:u w:val="none"/>
                <w:lang w:val="en-US"/>
              </w:rPr>
              <w:fldChar w:fldCharType="separate"/>
            </w:r>
            <w:r>
              <w:rPr>
                <w:noProof/>
                <w:color w:val="auto"/>
                <w:u w:val="none"/>
                <w:lang w:val="en-US"/>
              </w:rPr>
              <w:t>1</w:t>
            </w:r>
            <w:r>
              <w:rPr>
                <w:color w:val="auto"/>
                <w:u w:val="none"/>
                <w:lang w:val="en-US"/>
              </w:rPr>
              <w:fldChar w:fldCharType="end"/>
            </w:r>
            <w:r>
              <w:rPr>
                <w:color w:val="auto"/>
                <w:u w:val="none"/>
                <w:lang w:val="en-US"/>
              </w:rPr>
              <w:t>)</w:t>
            </w:r>
          </w:p>
        </w:tc>
      </w:tr>
    </w:tbl>
    <w:p w14:paraId="26265EF5" w14:textId="77777777" w:rsidR="001552EF" w:rsidRDefault="001552EF" w:rsidP="001552EF">
      <w:pPr>
        <w:spacing w:line="360" w:lineRule="auto"/>
        <w:jc w:val="both"/>
        <w:rPr>
          <w:lang w:val="en-US"/>
        </w:rPr>
      </w:pPr>
      <w:r>
        <w:rPr>
          <w:lang w:val="en-US"/>
        </w:rPr>
        <w:t>Keterangan:</w:t>
      </w:r>
    </w:p>
    <w:p w14:paraId="29159607" w14:textId="77777777" w:rsidR="001552EF" w:rsidRDefault="001552EF" w:rsidP="001552EF">
      <w:pPr>
        <w:spacing w:line="360" w:lineRule="auto"/>
        <w:jc w:val="both"/>
        <w:rPr>
          <w:szCs w:val="24"/>
          <w:lang w:val="en-US" w:eastAsia="en-US"/>
        </w:rPr>
      </w:pPr>
      <m:oMath>
        <m:r>
          <w:rPr>
            <w:rFonts w:ascii="Cambria Math" w:eastAsiaTheme="minorHAnsi" w:hAnsi="Cambria Math" w:cs="Quattrocento Sans"/>
            <w:szCs w:val="24"/>
            <w:lang w:val="en-US" w:eastAsia="en-US"/>
          </w:rPr>
          <m:t>x</m:t>
        </m:r>
      </m:oMath>
      <w:r>
        <w:rPr>
          <w:szCs w:val="24"/>
          <w:lang w:val="en-US" w:eastAsia="en-US"/>
        </w:rPr>
        <w:t xml:space="preserve"> = Jumlah pemakaian per item obat</w:t>
      </w:r>
    </w:p>
    <w:p w14:paraId="3C2946C9" w14:textId="77777777" w:rsidR="001552EF" w:rsidRPr="00356E5F" w:rsidRDefault="001552EF" w:rsidP="001552EF">
      <w:pPr>
        <w:spacing w:line="360" w:lineRule="auto"/>
        <w:jc w:val="both"/>
        <w:rPr>
          <w:szCs w:val="24"/>
          <w:lang w:val="en-US" w:eastAsia="en-US"/>
        </w:rPr>
      </w:pPr>
      <m:oMath>
        <m:r>
          <w:rPr>
            <w:rFonts w:ascii="Cambria Math" w:eastAsiaTheme="minorHAnsi" w:hAnsi="Cambria Math" w:cs="Quattrocento Sans"/>
            <w:szCs w:val="24"/>
            <w:lang w:val="en-US" w:eastAsia="en-US"/>
          </w:rPr>
          <m:t>∑</m:t>
        </m:r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= Total jumlah pemakaian obat</w:t>
      </w:r>
    </w:p>
    <w:p w14:paraId="168D685C" w14:textId="77777777" w:rsidR="001552EF" w:rsidRDefault="001552EF" w:rsidP="001552EF">
      <w:pPr>
        <w:spacing w:line="360" w:lineRule="auto"/>
        <w:ind w:firstLine="567"/>
        <w:jc w:val="both"/>
      </w:pPr>
      <w:r w:rsidRPr="00356E5F">
        <w:rPr>
          <w:lang w:val="id-ID"/>
        </w:rPr>
        <w:t xml:space="preserve">Setelah menghitung persentase pemakaian, stok barang dikelompokkan berdasarkan jumlah penggunaan menjadi kategori A, B, dan C, dengan persentase kumulatif masing-masing sebesar </w:t>
      </w:r>
      <w:r>
        <w:rPr>
          <w:lang w:val="en-US"/>
        </w:rPr>
        <w:t>80</w:t>
      </w:r>
      <w:r w:rsidRPr="00356E5F">
        <w:rPr>
          <w:lang w:val="id-ID"/>
        </w:rPr>
        <w:t xml:space="preserve">%, </w:t>
      </w:r>
      <w:r>
        <w:rPr>
          <w:lang w:val="en-US"/>
        </w:rPr>
        <w:t>15</w:t>
      </w:r>
      <w:r w:rsidRPr="00356E5F">
        <w:rPr>
          <w:lang w:val="id-ID"/>
        </w:rPr>
        <w:t xml:space="preserve">%, dan </w:t>
      </w:r>
      <w:r>
        <w:rPr>
          <w:lang w:val="en-US"/>
        </w:rPr>
        <w:t>5</w:t>
      </w:r>
      <w:r w:rsidRPr="00356E5F">
        <w:rPr>
          <w:lang w:val="id-ID"/>
        </w:rPr>
        <w:t>%.</w:t>
      </w:r>
    </w:p>
    <w:p w14:paraId="49E95502" w14:textId="77777777" w:rsidR="001552EF" w:rsidRPr="00FB2616" w:rsidRDefault="001552EF" w:rsidP="001552EF">
      <w:pPr>
        <w:spacing w:line="360" w:lineRule="auto"/>
        <w:ind w:firstLine="567"/>
        <w:jc w:val="both"/>
        <w:rPr>
          <w:lang w:val="en-US"/>
        </w:rPr>
      </w:pPr>
      <w:r w:rsidRPr="00FB2616">
        <w:t xml:space="preserve">Nilai investasi dihitung dengan mengalikan jumlah pemakaian dengan harga satuan. Setelah total investasi per item obat selama satu </w:t>
      </w:r>
      <w:r>
        <w:rPr>
          <w:lang w:val="en-US"/>
        </w:rPr>
        <w:t>periode</w:t>
      </w:r>
      <w:r w:rsidRPr="00FB2616">
        <w:t xml:space="preserve"> diperoleh, data tersebut diurutkan dari nilai investasi tertinggi hingga terendah. Selanjutnya, persentase investasi per item obat dihitung menggunakan rumus berikut</w:t>
      </w:r>
      <w:r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120"/>
      </w:tblGrid>
      <w:tr w:rsidR="001552EF" w:rsidRPr="00FB2616" w14:paraId="5C389FB0" w14:textId="77777777" w:rsidTr="00226044">
        <w:tc>
          <w:tcPr>
            <w:tcW w:w="5807" w:type="dxa"/>
          </w:tcPr>
          <w:p w14:paraId="176F016D" w14:textId="77777777" w:rsidR="001552EF" w:rsidRPr="00FB2616" w:rsidRDefault="001552EF" w:rsidP="00226044">
            <w:pPr>
              <w:spacing w:line="360" w:lineRule="auto"/>
              <w:jc w:val="center"/>
              <w:rPr>
                <w:color w:val="auto"/>
                <w:u w:val="none"/>
                <w:lang w:val="en-US"/>
              </w:rPr>
            </w:pPr>
            <w:r w:rsidRPr="00FB2616">
              <w:rPr>
                <w:color w:val="auto"/>
                <w:u w:val="none"/>
                <w:lang w:val="en-US"/>
              </w:rPr>
              <w:t xml:space="preserve">Presentase Investasi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u w:val="non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u w:val="none"/>
                      <w:lang w:val="en-US"/>
                    </w:rPr>
                    <m:t>y∕∑y</m:t>
                  </m:r>
                </m:e>
              </m:d>
              <m:r>
                <w:rPr>
                  <w:rFonts w:ascii="Cambria Math" w:hAnsi="Cambria Math"/>
                  <w:color w:val="auto"/>
                  <w:u w:val="none"/>
                  <w:lang w:val="en-US"/>
                </w:rPr>
                <m:t>×</m:t>
              </m:r>
            </m:oMath>
            <w:r w:rsidRPr="001365AC">
              <w:rPr>
                <w:rFonts w:eastAsiaTheme="minorEastAsia"/>
                <w:color w:val="auto"/>
                <w:u w:val="none"/>
                <w:lang w:val="en-US"/>
              </w:rPr>
              <w:t xml:space="preserve"> 100%</w:t>
            </w:r>
          </w:p>
        </w:tc>
        <w:tc>
          <w:tcPr>
            <w:tcW w:w="2120" w:type="dxa"/>
          </w:tcPr>
          <w:p w14:paraId="189661F4" w14:textId="77777777" w:rsidR="001552EF" w:rsidRPr="001365AC" w:rsidRDefault="001552EF" w:rsidP="00226044">
            <w:pPr>
              <w:pStyle w:val="Caption"/>
              <w:jc w:val="right"/>
              <w:rPr>
                <w:color w:val="auto"/>
                <w:u w:val="none"/>
                <w:lang w:val="en-US"/>
              </w:rPr>
            </w:pPr>
            <w:r>
              <w:rPr>
                <w:color w:val="auto"/>
                <w:u w:val="none"/>
                <w:lang w:val="en-US"/>
              </w:rPr>
              <w:fldChar w:fldCharType="begin"/>
            </w:r>
            <w:r>
              <w:rPr>
                <w:color w:val="auto"/>
                <w:u w:val="none"/>
                <w:lang w:val="en-US"/>
              </w:rPr>
              <w:instrText xml:space="preserve"> STYLEREF 1 \s </w:instrText>
            </w:r>
            <w:r>
              <w:rPr>
                <w:color w:val="auto"/>
                <w:u w:val="none"/>
                <w:lang w:val="en-US"/>
              </w:rPr>
              <w:fldChar w:fldCharType="separate"/>
            </w:r>
            <w:r>
              <w:rPr>
                <w:noProof/>
                <w:color w:val="auto"/>
                <w:u w:val="none"/>
                <w:cs/>
                <w:lang w:val="en-US"/>
              </w:rPr>
              <w:t>‎</w:t>
            </w:r>
            <w:r>
              <w:rPr>
                <w:noProof/>
                <w:color w:val="auto"/>
                <w:u w:val="none"/>
                <w:lang w:val="en-US"/>
              </w:rPr>
              <w:t>2</w:t>
            </w:r>
            <w:r>
              <w:rPr>
                <w:color w:val="auto"/>
                <w:u w:val="none"/>
                <w:lang w:val="en-US"/>
              </w:rPr>
              <w:fldChar w:fldCharType="end"/>
            </w:r>
            <w:r>
              <w:rPr>
                <w:color w:val="auto"/>
                <w:u w:val="none"/>
                <w:lang w:val="en-US"/>
              </w:rPr>
              <w:t>.</w:t>
            </w:r>
            <w:r>
              <w:rPr>
                <w:color w:val="auto"/>
                <w:u w:val="none"/>
                <w:lang w:val="en-US"/>
              </w:rPr>
              <w:fldChar w:fldCharType="begin"/>
            </w:r>
            <w:r>
              <w:rPr>
                <w:color w:val="auto"/>
                <w:u w:val="none"/>
                <w:lang w:val="en-US"/>
              </w:rPr>
              <w:instrText xml:space="preserve"> SEQ Rumus \* ARABIC \s 1 </w:instrText>
            </w:r>
            <w:r>
              <w:rPr>
                <w:color w:val="auto"/>
                <w:u w:val="none"/>
                <w:lang w:val="en-US"/>
              </w:rPr>
              <w:fldChar w:fldCharType="separate"/>
            </w:r>
            <w:r>
              <w:rPr>
                <w:noProof/>
                <w:color w:val="auto"/>
                <w:u w:val="none"/>
                <w:lang w:val="en-US"/>
              </w:rPr>
              <w:t>2</w:t>
            </w:r>
            <w:r>
              <w:rPr>
                <w:color w:val="auto"/>
                <w:u w:val="none"/>
                <w:lang w:val="en-US"/>
              </w:rPr>
              <w:fldChar w:fldCharType="end"/>
            </w:r>
          </w:p>
        </w:tc>
      </w:tr>
    </w:tbl>
    <w:p w14:paraId="0352F8CF" w14:textId="77777777" w:rsidR="001552EF" w:rsidRDefault="001552EF" w:rsidP="001552EF">
      <w:pPr>
        <w:spacing w:line="360" w:lineRule="auto"/>
        <w:jc w:val="both"/>
        <w:rPr>
          <w:lang w:val="en-US"/>
        </w:rPr>
      </w:pPr>
      <w:r>
        <w:rPr>
          <w:lang w:val="en-US"/>
        </w:rPr>
        <w:t>Keterangan :</w:t>
      </w:r>
    </w:p>
    <w:p w14:paraId="211FD6D2" w14:textId="77777777" w:rsidR="001552EF" w:rsidRDefault="001552EF" w:rsidP="001552EF">
      <w:pPr>
        <w:spacing w:line="360" w:lineRule="auto"/>
        <w:jc w:val="both"/>
        <w:rPr>
          <w:szCs w:val="24"/>
          <w:lang w:val="en-US" w:eastAsia="en-US"/>
        </w:rPr>
      </w:pPr>
      <m:oMath>
        <m:r>
          <w:rPr>
            <w:rFonts w:ascii="Cambria Math" w:eastAsiaTheme="minorHAnsi" w:hAnsi="Cambria Math" w:cs="Quattrocento Sans"/>
            <w:szCs w:val="24"/>
            <w:lang w:val="en-US" w:eastAsia="en-US"/>
          </w:rPr>
          <m:t>y</m:t>
        </m:r>
      </m:oMath>
      <w:r>
        <w:rPr>
          <w:szCs w:val="24"/>
          <w:lang w:val="en-US" w:eastAsia="en-US"/>
        </w:rPr>
        <w:t xml:space="preserve"> = Jumlah investasi per item obat dalam satu periode</w:t>
      </w:r>
    </w:p>
    <w:p w14:paraId="5D8103EA" w14:textId="77777777" w:rsidR="001552EF" w:rsidRPr="00FB2616" w:rsidRDefault="001552EF" w:rsidP="001552EF">
      <w:pPr>
        <w:spacing w:line="360" w:lineRule="auto"/>
        <w:jc w:val="both"/>
        <w:rPr>
          <w:szCs w:val="24"/>
          <w:lang w:val="en-US" w:eastAsia="en-US"/>
        </w:rPr>
      </w:pPr>
      <m:oMath>
        <m:r>
          <w:rPr>
            <w:rFonts w:ascii="Cambria Math" w:eastAsiaTheme="minorHAnsi" w:hAnsi="Cambria Math" w:cs="Quattrocento Sans"/>
            <w:szCs w:val="24"/>
            <w:lang w:val="en-US" w:eastAsia="en-US"/>
          </w:rPr>
          <m:t>∑y</m:t>
        </m:r>
      </m:oMath>
      <w:r>
        <w:rPr>
          <w:szCs w:val="24"/>
          <w:lang w:val="en-US" w:eastAsia="en-US"/>
        </w:rPr>
        <w:t xml:space="preserve"> = Total jumlah investasi dalam satu preiode</w:t>
      </w:r>
    </w:p>
    <w:p w14:paraId="39801FBE" w14:textId="77777777" w:rsidR="001552EF" w:rsidRDefault="001552EF" w:rsidP="001552EF">
      <w:pPr>
        <w:spacing w:line="360" w:lineRule="auto"/>
        <w:ind w:firstLine="567"/>
        <w:jc w:val="both"/>
      </w:pPr>
      <w:r w:rsidRPr="001365AC">
        <w:rPr>
          <w:lang w:val="id-ID"/>
        </w:rPr>
        <w:t xml:space="preserve">Persentase investasi yang diperoleh selanjutnya dihitung persentase kumulatifnya dan dikelompokkan ke dalam kategori masing-masing dengan persentase kumulatif sebesar </w:t>
      </w:r>
      <w:r>
        <w:rPr>
          <w:lang w:val="en-US"/>
        </w:rPr>
        <w:t>80</w:t>
      </w:r>
      <w:r w:rsidRPr="001365AC">
        <w:rPr>
          <w:lang w:val="id-ID"/>
        </w:rPr>
        <w:t xml:space="preserve">%, </w:t>
      </w:r>
      <w:r>
        <w:rPr>
          <w:lang w:val="en-US"/>
        </w:rPr>
        <w:t>15</w:t>
      </w:r>
      <w:r w:rsidRPr="001365AC">
        <w:rPr>
          <w:lang w:val="id-ID"/>
        </w:rPr>
        <w:t xml:space="preserve">%, dan </w:t>
      </w:r>
      <w:r>
        <w:rPr>
          <w:lang w:val="en-US"/>
        </w:rPr>
        <w:t>5</w:t>
      </w:r>
      <w:r w:rsidRPr="001365AC">
        <w:rPr>
          <w:lang w:val="id-ID"/>
        </w:rPr>
        <w:t>%. Nilai indeks kritis dapat dihitung menggunakan rumus berikut: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120"/>
      </w:tblGrid>
      <w:tr w:rsidR="001552EF" w:rsidRPr="001365AC" w14:paraId="4CEACDBE" w14:textId="77777777" w:rsidTr="00226044">
        <w:tc>
          <w:tcPr>
            <w:tcW w:w="5807" w:type="dxa"/>
          </w:tcPr>
          <w:p w14:paraId="034E9FE8" w14:textId="77777777" w:rsidR="001552EF" w:rsidRPr="001365AC" w:rsidRDefault="001552EF" w:rsidP="00226044">
            <w:pPr>
              <w:spacing w:line="360" w:lineRule="auto"/>
              <w:jc w:val="center"/>
              <w:rPr>
                <w:color w:val="auto"/>
                <w:u w:val="none"/>
                <w:lang w:val="en-US"/>
              </w:rPr>
            </w:pPr>
            <w:r w:rsidRPr="001365AC">
              <w:rPr>
                <w:color w:val="auto"/>
                <w:u w:val="none"/>
                <w:lang w:val="en-US"/>
              </w:rPr>
              <w:t>NIKs = Skor Nilai Pakai + Skor Nilai Investasi</w:t>
            </w:r>
          </w:p>
        </w:tc>
        <w:tc>
          <w:tcPr>
            <w:tcW w:w="2120" w:type="dxa"/>
          </w:tcPr>
          <w:p w14:paraId="7A593FA0" w14:textId="77777777" w:rsidR="001552EF" w:rsidRPr="001365AC" w:rsidRDefault="001552EF" w:rsidP="00226044">
            <w:pPr>
              <w:pStyle w:val="Caption"/>
              <w:jc w:val="right"/>
              <w:rPr>
                <w:color w:val="auto"/>
                <w:u w:val="none"/>
                <w:lang w:val="en-US"/>
              </w:rPr>
            </w:pPr>
            <w:r>
              <w:rPr>
                <w:color w:val="auto"/>
                <w:u w:val="none"/>
                <w:lang w:val="en-US"/>
              </w:rPr>
              <w:t>(</w:t>
            </w:r>
            <w:r>
              <w:rPr>
                <w:color w:val="auto"/>
                <w:u w:val="none"/>
                <w:lang w:val="en-US"/>
              </w:rPr>
              <w:fldChar w:fldCharType="begin"/>
            </w:r>
            <w:r>
              <w:rPr>
                <w:color w:val="auto"/>
                <w:u w:val="none"/>
                <w:lang w:val="en-US"/>
              </w:rPr>
              <w:instrText xml:space="preserve"> STYLEREF 1 \s </w:instrText>
            </w:r>
            <w:r>
              <w:rPr>
                <w:color w:val="auto"/>
                <w:u w:val="none"/>
                <w:lang w:val="en-US"/>
              </w:rPr>
              <w:fldChar w:fldCharType="separate"/>
            </w:r>
            <w:r>
              <w:rPr>
                <w:noProof/>
                <w:color w:val="auto"/>
                <w:u w:val="none"/>
                <w:cs/>
                <w:lang w:val="en-US"/>
              </w:rPr>
              <w:t>‎</w:t>
            </w:r>
            <w:r>
              <w:rPr>
                <w:noProof/>
                <w:color w:val="auto"/>
                <w:u w:val="none"/>
                <w:lang w:val="en-US"/>
              </w:rPr>
              <w:t>2</w:t>
            </w:r>
            <w:r>
              <w:rPr>
                <w:color w:val="auto"/>
                <w:u w:val="none"/>
                <w:lang w:val="en-US"/>
              </w:rPr>
              <w:fldChar w:fldCharType="end"/>
            </w:r>
            <w:r>
              <w:rPr>
                <w:color w:val="auto"/>
                <w:u w:val="none"/>
                <w:lang w:val="en-US"/>
              </w:rPr>
              <w:t>.</w:t>
            </w:r>
            <w:r>
              <w:rPr>
                <w:color w:val="auto"/>
                <w:u w:val="none"/>
                <w:lang w:val="en-US"/>
              </w:rPr>
              <w:fldChar w:fldCharType="begin"/>
            </w:r>
            <w:r>
              <w:rPr>
                <w:color w:val="auto"/>
                <w:u w:val="none"/>
                <w:lang w:val="en-US"/>
              </w:rPr>
              <w:instrText xml:space="preserve"> SEQ Rumus \* ARABIC \s 1 </w:instrText>
            </w:r>
            <w:r>
              <w:rPr>
                <w:color w:val="auto"/>
                <w:u w:val="none"/>
                <w:lang w:val="en-US"/>
              </w:rPr>
              <w:fldChar w:fldCharType="separate"/>
            </w:r>
            <w:r>
              <w:rPr>
                <w:noProof/>
                <w:color w:val="auto"/>
                <w:u w:val="none"/>
                <w:lang w:val="en-US"/>
              </w:rPr>
              <w:t>3</w:t>
            </w:r>
            <w:r>
              <w:rPr>
                <w:color w:val="auto"/>
                <w:u w:val="none"/>
                <w:lang w:val="en-US"/>
              </w:rPr>
              <w:fldChar w:fldCharType="end"/>
            </w:r>
            <w:r>
              <w:rPr>
                <w:color w:val="auto"/>
                <w:u w:val="none"/>
                <w:lang w:val="en-US"/>
              </w:rPr>
              <w:t>)</w:t>
            </w:r>
          </w:p>
        </w:tc>
      </w:tr>
    </w:tbl>
    <w:p w14:paraId="66E3E317" w14:textId="77777777" w:rsidR="001552EF" w:rsidRDefault="001552EF" w:rsidP="001552EF">
      <w:pPr>
        <w:spacing w:line="360" w:lineRule="auto"/>
        <w:ind w:firstLine="567"/>
        <w:jc w:val="both"/>
        <w:rPr>
          <w:lang w:val="en-US"/>
        </w:rPr>
      </w:pPr>
      <w:r w:rsidRPr="001365AC">
        <w:t xml:space="preserve">Skor nilai pakai dan skor nilai investasi merupakan konversi dari kategori pemakaian dan investasi yang awalnya berupa huruf menjadi angka, di mana kategori A dikonversi menjadi 3, B menjadi 2, dan C menjadi 1. Dengan demikian, nilai indeks kritis (NIKs) akan berada dalam rentang </w:t>
      </w:r>
      <w:r w:rsidRPr="001365AC">
        <w:lastRenderedPageBreak/>
        <w:t>antara 2 hingga 6. Selanjutnya, stok barang akan dikelompokkan ke dalam tiga kategori berdasarkan interval yang dihitung menggunakan rumus berikut: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120"/>
      </w:tblGrid>
      <w:tr w:rsidR="001552EF" w:rsidRPr="001365AC" w14:paraId="3174FDC6" w14:textId="77777777" w:rsidTr="00226044">
        <w:tc>
          <w:tcPr>
            <w:tcW w:w="5807" w:type="dxa"/>
          </w:tcPr>
          <w:p w14:paraId="4F8BC6DE" w14:textId="77777777" w:rsidR="001552EF" w:rsidRPr="001365AC" w:rsidRDefault="001552EF" w:rsidP="00226044">
            <w:pPr>
              <w:spacing w:line="360" w:lineRule="auto"/>
              <w:jc w:val="center"/>
              <w:rPr>
                <w:color w:val="auto"/>
                <w:u w:val="none"/>
                <w:lang w:val="en-US"/>
              </w:rPr>
            </w:pPr>
            <w:r w:rsidRPr="001365AC">
              <w:rPr>
                <w:color w:val="auto"/>
                <w:u w:val="none"/>
                <w:lang w:val="en-US"/>
              </w:rPr>
              <w:t>Interval skor = ((x1+y1) – (x2+y2)) / jumlah kelas pareto</w:t>
            </w:r>
          </w:p>
        </w:tc>
        <w:tc>
          <w:tcPr>
            <w:tcW w:w="2120" w:type="dxa"/>
          </w:tcPr>
          <w:p w14:paraId="40590080" w14:textId="77777777" w:rsidR="001552EF" w:rsidRPr="001365AC" w:rsidRDefault="001552EF" w:rsidP="00226044">
            <w:pPr>
              <w:pStyle w:val="Caption"/>
              <w:jc w:val="right"/>
              <w:rPr>
                <w:color w:val="auto"/>
                <w:u w:val="none"/>
                <w:lang w:val="en-US"/>
              </w:rPr>
            </w:pPr>
            <w:r w:rsidRPr="001365AC">
              <w:rPr>
                <w:color w:val="auto"/>
                <w:u w:val="none"/>
                <w:lang w:val="en-US"/>
              </w:rPr>
              <w:fldChar w:fldCharType="begin"/>
            </w:r>
            <w:r w:rsidRPr="001365AC">
              <w:rPr>
                <w:color w:val="auto"/>
                <w:u w:val="none"/>
                <w:lang w:val="en-US"/>
              </w:rPr>
              <w:instrText xml:space="preserve"> STYLEREF 1 \s </w:instrText>
            </w:r>
            <w:r w:rsidRPr="001365AC">
              <w:rPr>
                <w:color w:val="auto"/>
                <w:u w:val="none"/>
                <w:lang w:val="en-US"/>
              </w:rPr>
              <w:fldChar w:fldCharType="separate"/>
            </w:r>
            <w:r w:rsidRPr="001365AC">
              <w:rPr>
                <w:noProof/>
                <w:color w:val="auto"/>
                <w:u w:val="none"/>
                <w:cs/>
                <w:lang w:val="en-US"/>
              </w:rPr>
              <w:t>‎</w:t>
            </w:r>
            <w:r w:rsidRPr="001365AC">
              <w:rPr>
                <w:noProof/>
                <w:color w:val="auto"/>
                <w:u w:val="none"/>
                <w:lang w:val="en-US"/>
              </w:rPr>
              <w:t>2</w:t>
            </w:r>
            <w:r w:rsidRPr="001365AC">
              <w:rPr>
                <w:color w:val="auto"/>
                <w:u w:val="none"/>
                <w:lang w:val="en-US"/>
              </w:rPr>
              <w:fldChar w:fldCharType="end"/>
            </w:r>
            <w:r w:rsidRPr="001365AC">
              <w:rPr>
                <w:color w:val="auto"/>
                <w:u w:val="none"/>
                <w:lang w:val="en-US"/>
              </w:rPr>
              <w:t>.</w:t>
            </w:r>
            <w:r w:rsidRPr="001365AC">
              <w:rPr>
                <w:color w:val="auto"/>
                <w:u w:val="none"/>
                <w:lang w:val="en-US"/>
              </w:rPr>
              <w:fldChar w:fldCharType="begin"/>
            </w:r>
            <w:r w:rsidRPr="001365AC">
              <w:rPr>
                <w:color w:val="auto"/>
                <w:u w:val="none"/>
                <w:lang w:val="en-US"/>
              </w:rPr>
              <w:instrText xml:space="preserve"> SEQ Rumus \* ARABIC \s 1 </w:instrText>
            </w:r>
            <w:r w:rsidRPr="001365AC">
              <w:rPr>
                <w:color w:val="auto"/>
                <w:u w:val="none"/>
                <w:lang w:val="en-US"/>
              </w:rPr>
              <w:fldChar w:fldCharType="separate"/>
            </w:r>
            <w:r w:rsidRPr="001365AC">
              <w:rPr>
                <w:noProof/>
                <w:color w:val="auto"/>
                <w:u w:val="none"/>
                <w:lang w:val="en-US"/>
              </w:rPr>
              <w:t>4</w:t>
            </w:r>
            <w:r w:rsidRPr="001365AC">
              <w:rPr>
                <w:color w:val="auto"/>
                <w:u w:val="none"/>
                <w:lang w:val="en-US"/>
              </w:rPr>
              <w:fldChar w:fldCharType="end"/>
            </w:r>
          </w:p>
        </w:tc>
      </w:tr>
    </w:tbl>
    <w:p w14:paraId="70387582" w14:textId="77777777" w:rsidR="001552EF" w:rsidRDefault="001552EF" w:rsidP="001552EF">
      <w:pPr>
        <w:spacing w:line="360" w:lineRule="auto"/>
        <w:jc w:val="both"/>
        <w:rPr>
          <w:lang w:val="en-US"/>
        </w:rPr>
      </w:pPr>
      <w:r>
        <w:rPr>
          <w:lang w:val="en-US"/>
        </w:rPr>
        <w:t>Keterangan:</w:t>
      </w:r>
    </w:p>
    <w:p w14:paraId="41010199" w14:textId="77777777" w:rsidR="001552EF" w:rsidRDefault="001552EF" w:rsidP="001552EF">
      <w:pPr>
        <w:spacing w:line="360" w:lineRule="auto"/>
        <w:jc w:val="both"/>
        <w:rPr>
          <w:lang w:val="en-US"/>
        </w:rPr>
      </w:pPr>
      <w:r>
        <w:rPr>
          <w:lang w:val="en-US"/>
        </w:rPr>
        <w:t>x1 = nilai tertinggi dari skor pareto nilai pakai</w:t>
      </w:r>
    </w:p>
    <w:p w14:paraId="5EA730B5" w14:textId="77777777" w:rsidR="001552EF" w:rsidRDefault="001552EF" w:rsidP="001552EF">
      <w:pPr>
        <w:spacing w:line="360" w:lineRule="auto"/>
        <w:jc w:val="both"/>
        <w:rPr>
          <w:lang w:val="en-US"/>
        </w:rPr>
      </w:pPr>
      <w:r>
        <w:rPr>
          <w:lang w:val="en-US"/>
        </w:rPr>
        <w:t>y1 = nilai tertinggi dari skor pareto nilai investasi</w:t>
      </w:r>
    </w:p>
    <w:p w14:paraId="4F047FB2" w14:textId="77777777" w:rsidR="001552EF" w:rsidRDefault="001552EF" w:rsidP="001552EF">
      <w:pPr>
        <w:spacing w:line="360" w:lineRule="auto"/>
        <w:jc w:val="both"/>
        <w:rPr>
          <w:lang w:val="en-US"/>
        </w:rPr>
      </w:pPr>
      <w:r>
        <w:rPr>
          <w:lang w:val="en-US"/>
        </w:rPr>
        <w:t>x2 = nilai terendah dari skor pareto nilai pakai</w:t>
      </w:r>
    </w:p>
    <w:p w14:paraId="708FF9EA" w14:textId="7AA3B7BC" w:rsidR="001552EF" w:rsidRPr="001552EF" w:rsidRDefault="001552EF" w:rsidP="001552EF">
      <w:pPr>
        <w:rPr>
          <w:lang w:val="en-US"/>
        </w:rPr>
      </w:pPr>
      <w:r>
        <w:rPr>
          <w:lang w:val="en-US"/>
        </w:rPr>
        <w:t>y2 = nilai terendah dari skor pareto nilai investasi</w:t>
      </w:r>
    </w:p>
    <w:sectPr w:rsidR="001552EF" w:rsidRPr="0015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5378E"/>
    <w:multiLevelType w:val="multilevel"/>
    <w:tmpl w:val="3B72DD1A"/>
    <w:lvl w:ilvl="0">
      <w:start w:val="1"/>
      <w:numFmt w:val="decimal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EF"/>
    <w:rsid w:val="001552EF"/>
    <w:rsid w:val="00DA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3E3F"/>
  <w15:chartTrackingRefBased/>
  <w15:docId w15:val="{B2AF175D-B3FC-4E41-8062-A9940D50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EF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asciiTheme="majorBidi" w:eastAsiaTheme="majorEastAsia" w:hAnsiTheme="majorBidi" w:cstheme="majorBidi"/>
      <w:b/>
      <w:sz w:val="24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b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E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Bidi" w:eastAsiaTheme="majorEastAsia" w:hAnsiTheme="majorBidi" w:cstheme="majorBidi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EF"/>
    <w:rPr>
      <w:rFonts w:asciiTheme="majorBidi" w:eastAsiaTheme="majorEastAsia" w:hAnsiTheme="majorBidi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552EF"/>
    <w:rPr>
      <w:rFonts w:asciiTheme="majorBidi" w:eastAsiaTheme="majorEastAsia" w:hAnsiTheme="majorBidi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1552EF"/>
    <w:rPr>
      <w:rFonts w:asciiTheme="majorBidi" w:eastAsiaTheme="majorEastAsia" w:hAnsiTheme="majorBidi" w:cstheme="majorBidi"/>
      <w:b/>
      <w:sz w:val="24"/>
      <w:szCs w:val="24"/>
      <w:lang w:val="id-ID"/>
    </w:rPr>
  </w:style>
  <w:style w:type="table" w:styleId="TableGrid">
    <w:name w:val="Table Grid"/>
    <w:basedOn w:val="TableNormal"/>
    <w:uiPriority w:val="39"/>
    <w:qFormat/>
    <w:rsid w:val="001552EF"/>
    <w:pPr>
      <w:spacing w:after="0" w:line="240" w:lineRule="auto"/>
      <w:jc w:val="both"/>
    </w:pPr>
    <w:rPr>
      <w:rFonts w:ascii="Times New Roman" w:eastAsiaTheme="minorHAnsi" w:hAnsi="Times New Roman" w:cs="Quattrocento Sans"/>
      <w:color w:val="0563C1" w:themeColor="hyperlink"/>
      <w:sz w:val="24"/>
      <w:szCs w:val="24"/>
      <w:u w:val="single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2EF"/>
    <w:pPr>
      <w:spacing w:after="200" w:line="240" w:lineRule="auto"/>
      <w:jc w:val="center"/>
    </w:pPr>
    <w:rPr>
      <w:rFonts w:asciiTheme="majorBidi" w:hAnsiTheme="majorBidi"/>
      <w:iCs/>
      <w:sz w:val="24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A91AE3ADE7426EB6FD69EE7A49C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87B4D-7A76-406E-9809-D953617810AB}"/>
      </w:docPartPr>
      <w:docPartBody>
        <w:p w:rsidR="00000000" w:rsidRDefault="003E106E" w:rsidP="003E106E">
          <w:pPr>
            <w:pStyle w:val="31A91AE3ADE7426EB6FD69EE7A49CF91"/>
          </w:pPr>
          <w:r w:rsidRPr="0008789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6E"/>
    <w:rsid w:val="003E106E"/>
    <w:rsid w:val="0072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06E"/>
    <w:rPr>
      <w:color w:val="808080"/>
    </w:rPr>
  </w:style>
  <w:style w:type="paragraph" w:customStyle="1" w:styleId="31A91AE3ADE7426EB6FD69EE7A49CF91">
    <w:name w:val="31A91AE3ADE7426EB6FD69EE7A49CF91"/>
    <w:rsid w:val="003E10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furqon huwaidy</dc:creator>
  <cp:keywords/>
  <dc:description/>
  <cp:lastModifiedBy>muhammad furqon huwaidy</cp:lastModifiedBy>
  <cp:revision>1</cp:revision>
  <dcterms:created xsi:type="dcterms:W3CDTF">2025-03-02T20:20:00Z</dcterms:created>
  <dcterms:modified xsi:type="dcterms:W3CDTF">2025-03-02T20:21:00Z</dcterms:modified>
</cp:coreProperties>
</file>