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4057" w:sz="12" w:space="2"/>
        </w:pBdr>
        <w:spacing w:after="200" w:before="400"/>
        <w:jc w:val="center"/>
      </w:pPr>
      <w:r>
        <w:rPr>
          <w:rFonts w:ascii="MS Gothic" w:cs="MS Gothic" w:eastAsia="MS Gothic" w:hAnsi="MS Gothic"/>
          <w:b/>
          <w:bCs/>
          <w:color w:val="2E4057"/>
          <w:sz w:val="52"/>
          <w:szCs w:val="52"/>
        </w:rPr>
        <w:t xml:space="preserve">修士論文　進捗報告</w:t>
      </w:r>
    </w:p>
    <w:p>
      <w:pPr>
        <w:spacing w:after="400" w:before="160"/>
        <w:jc w:val="right"/>
      </w:pPr>
      <w:r>
        <w:rPr>
          <w:rFonts w:ascii="MS Gothic" w:cs="MS Gothic" w:eastAsia="MS Gothic" w:hAnsi="MS Gothic"/>
          <w:color w:val="555555"/>
          <w:sz w:val="22"/>
          <w:szCs w:val="22"/>
        </w:rPr>
        <w:t xml:space="preserve">2026年3月</w:t>
      </w:r>
    </w:p>
    <w:p>
      <w:pPr>
        <w:pStyle w:val="Heading1"/>
        <w:spacing w:after="160" w:before="360"/>
      </w:pPr>
      <w:r>
        <w:rPr>
          <w:rFonts w:ascii="MS Gothic" w:cs="MS Gothic" w:eastAsia="MS Gothic" w:hAnsi="MS Gothic"/>
        </w:rPr>
        <w:t xml:space="preserve">1. 追加先行研究</w:t>
      </w:r>
    </w:p>
    <w:p>
      <w:pPr>
        <w:pBdr>
          <w:bottom w:val="single" w:color="2E4057" w:sz="6" w:space="1"/>
        </w:pBdr>
        <w:spacing w:after="60" w:before="60"/>
      </w:pPr>
    </w:p>
    <w:p>
      <w:pPr>
        <w:spacing w:after="70" w:before="160"/>
        <w:jc w:val="left"/>
      </w:pPr>
      <w:r>
        <w:rPr>
          <w:rFonts w:ascii="MS Gothic" w:cs="MS Gothic" w:eastAsia="MS Gothic" w:hAnsi="MS Gothic"/>
          <w:b w:val="false"/>
          <w:bCs w:val="false"/>
          <w:color w:val="000000"/>
          <w:sz w:val="21"/>
          <w:szCs w:val="21"/>
        </w:rPr>
        <w:t xml:space="preserve">以下の5本は、本研究の方法論（クラスタリング・遷移分析・XGBoost＋SHAP）と直接対応する先行研究として新たに収集したものである。既存 References フォルダ内のライフサイクル論（Dickinson 2011, Habib &amp; Hasan 2019等）を理論的基盤としつつ、下記論文を機械学習応用・財務予測の方法論的根拠として位置づける。</w:t>
      </w:r>
    </w:p>
    <w:p>
      <w:pPr>
        <w:spacing w:after="8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700"/>
        <w:gridCol w:w="2526"/>
      </w:tblGrid>
      <w:tr>
        <w:trPr>
          <w:tblHeader/>
        </w:trPr>
        <w:tc>
          <w:tcPr>
            <w:tcW w:type="dxa" w:w="13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著者・年</w:t>
            </w:r>
          </w:p>
        </w:tc>
        <w:tc>
          <w:tcPr>
            <w:tcW w:type="dxa" w:w="25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タイトル</w:t>
            </w:r>
          </w:p>
        </w:tc>
        <w:tc>
          <w:tcPr>
            <w:tcW w:type="dxa" w:w="27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論文の概要</w:t>
            </w:r>
          </w:p>
        </w:tc>
        <w:tc>
          <w:tcPr>
            <w:tcW w:type="dxa" w:w="2526"/>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本研究との対応</w:t>
            </w:r>
          </w:p>
        </w:tc>
      </w:tr>
      <w:tr>
        <w:tc>
          <w:tcPr>
            <w:tcW w:type="dxa" w:w="13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bCs/>
                <w:color w:val="000000"/>
                <w:sz w:val="18"/>
                <w:szCs w:val="18"/>
              </w:rPr>
              <w:t xml:space="preserve">Gonzalez-Ruiz
et al. (2021)</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Markov Chain K-Means Cluster Models and Their Use for Companies' Credit Quality and Default Probability Estimation
[Mathematics, MDPI, 9(8), 879]</w:t>
            </w:r>
          </w:p>
        </w:tc>
        <w:tc>
          <w:tcPr>
            <w:tcW w:type="dxa" w:w="2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K-Meansクラスタリングとマルコフ連鎖を組み合わせ、米・中南米上場35社の四半期財務データを用いて信用クラスター（Hedge/Speculative/Ponzi）間の遷移確率を推定。Ponzi企業のデフォルト確率は平均0.79。</w:t>
            </w:r>
          </w:p>
        </w:tc>
        <w:tc>
          <w:tcPr>
            <w:tcW w:type="dxa" w:w="25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本研究と最も類似した方法論（K-Means＋遷移分析）。本研究はより大規模（3,558社・15年）かつ多クラスター（k=5）で、XGBoost＋SHAPによる要因分析を追加した点が独自性。</w:t>
            </w:r>
          </w:p>
        </w:tc>
      </w:tr>
      <w:tr>
        <w:tc>
          <w:tcPr>
            <w:tcW w:type="dxa" w:w="13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bCs/>
                <w:color w:val="000000"/>
                <w:sz w:val="18"/>
                <w:szCs w:val="18"/>
              </w:rPr>
              <w:t xml:space="preserve">Li et al. (2022)</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Identification of Enterprise Financial Risk Based on Clustering Algorithm
[Frontiers / PMC9018203]</w:t>
            </w:r>
          </w:p>
        </w:tc>
        <w:tc>
          <w:tcPr>
            <w:tcW w:type="dxa" w:w="2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PCAで財務変数を2次元に圧縮後、K-Means（k=3→4の階層適用）で中国企業の財務リスク区分を識別。ST指定企業の財務的特徴を抽出。</w:t>
            </w:r>
          </w:p>
        </w:tc>
        <w:tc>
          <w:tcPr>
            <w:tcW w:type="dxa" w:w="25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PCA＋K-Meansによる財務クラスタリングの方法論的基盤として参照。本研究との差異はハンガリアン法による年度間ラベル整合性確保と、クラスター遷移の時系列追跡にある。</w:t>
            </w:r>
          </w:p>
        </w:tc>
      </w:tr>
      <w:tr>
        <w:tc>
          <w:tcPr>
            <w:tcW w:type="dxa" w:w="13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bCs/>
                <w:color w:val="000000"/>
                <w:sz w:val="18"/>
                <w:szCs w:val="18"/>
              </w:rPr>
              <w:t xml:space="preserve">Nguyen, Viviani
&amp; Ben Jabeur (2023)</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Bankruptcy Prediction Using Machine Learning and Shapley Additive Explanations
[Review of Quantitative Finance and Accounting]</w:t>
            </w:r>
          </w:p>
        </w:tc>
        <w:tc>
          <w:tcPr>
            <w:tcW w:type="dxa" w:w="2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フランス企業を対象にRF・LightGBM・XGBoost・NGBoostの倒産予測性能を比較。XGBoostがAUC約94%で最優秀。SHAPで変数重要度を定量化。</w:t>
            </w:r>
          </w:p>
        </w:tc>
        <w:tc>
          <w:tcPr>
            <w:tcW w:type="dxa" w:w="25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Step 1（Binary XGBoost＋SHAP）の直接的な方法論的根拠。本研究は倒産という二値イベントではなく財務構造変化（遷移）の早期シグナル検出に応用した。</w:t>
            </w:r>
          </w:p>
        </w:tc>
      </w:tr>
      <w:tr>
        <w:tc>
          <w:tcPr>
            <w:tcW w:type="dxa" w:w="13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bCs/>
                <w:color w:val="000000"/>
                <w:sz w:val="18"/>
                <w:szCs w:val="18"/>
              </w:rPr>
              <w:t xml:space="preserve">Ben Jabeur, Stef
&amp; Carmona (2023)</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Bankruptcy Prediction Using the XGBoost Algorithm and Variable Importance Feature Engineering
[Computational Economics, 61(2), 715-741]</w:t>
            </w:r>
          </w:p>
        </w:tc>
        <w:tc>
          <w:tcPr>
            <w:tcW w:type="dxa" w:w="2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特徴量重要度ベースの変数選択（FS-XGBoost）を提案し7種のMLモデルと比較。変数選択込みXGBoostが最高精度。財務比率の選択がMLモデル性能に与える影響を分析。</w:t>
            </w:r>
          </w:p>
        </w:tc>
        <w:tc>
          <w:tcPr>
            <w:tcW w:type="dxa" w:w="25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SHAP重要度による事後的な変数評価の先行研究として参照。本研究のSHAP分析で営業利益・長期借入金が主要変数として特定されたことを補強する。</w:t>
            </w:r>
          </w:p>
        </w:tc>
      </w:tr>
      <w:tr>
        <w:tc>
          <w:tcPr>
            <w:tcW w:type="dxa" w:w="13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bCs/>
                <w:color w:val="000000"/>
                <w:sz w:val="18"/>
                <w:szCs w:val="18"/>
              </w:rPr>
              <w:t xml:space="preserve">Zhang et al. (2023)</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An Explainable Financial Risk Early Warning Model Based on the DS-XGBoost Model
[Finance Research Letters, Elsevier]</w:t>
            </w:r>
          </w:p>
        </w:tc>
        <w:tc>
          <w:tcPr>
            <w:tcW w:type="dxa" w:w="2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XGBoost＋Dempster-Shafer証拠理論による財務リスク早期警戒モデルを提案。中国製造業上場企業（2012-2021）にSHAPを適用し各変数の寄与と方向性を定量化。</w:t>
            </w:r>
          </w:p>
        </w:tc>
        <w:tc>
          <w:tcPr>
            <w:tcW w:type="dxa" w:w="25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XGBoost＋SHAPによる解釈可能な財務リスクモデルの先行研究。本研究は遷移先（5クラス）をマルチクラス予測しクラス別SHAPで解明する点が独自性。</w:t>
            </w:r>
          </w:p>
        </w:tc>
      </w:tr>
    </w:tbl>
    <w:p>
      <w:pPr>
        <w:spacing w:after="100" w:before="200"/>
      </w:pPr>
    </w:p>
    <w:p>
      <w:r>
        <w:br w:type="page"/>
      </w:r>
    </w:p>
    <w:p>
      <w:pPr>
        <w:pStyle w:val="Heading1"/>
        <w:spacing w:after="160" w:before="360"/>
      </w:pPr>
      <w:r>
        <w:rPr>
          <w:rFonts w:ascii="MS Gothic" w:cs="MS Gothic" w:eastAsia="MS Gothic" w:hAnsi="MS Gothic"/>
        </w:rPr>
        <w:t xml:space="preserve">2. クラスタリング手法と年度独立性</w:t>
      </w:r>
    </w:p>
    <w:p>
      <w:pPr>
        <w:pBdr>
          <w:bottom w:val="single" w:color="2E4057" w:sz="6" w:space="1"/>
        </w:pBdr>
        <w:spacing w:after="60" w:before="60"/>
      </w:pPr>
    </w:p>
    <w:p>
      <w:pPr>
        <w:spacing w:after="70" w:before="160"/>
        <w:jc w:val="left"/>
      </w:pPr>
      <w:r>
        <w:rPr>
          <w:rFonts w:ascii="MS Gothic" w:cs="MS Gothic" w:eastAsia="MS Gothic" w:hAnsi="MS Gothic"/>
          <w:b w:val="false"/>
          <w:bCs w:val="false"/>
          <w:color w:val="000000"/>
          <w:sz w:val="21"/>
          <w:szCs w:val="21"/>
        </w:rPr>
        <w:t xml:space="preserve">教授よりご指摘のあった「クラスタリングに用いた年度と、予測モデルの訓練/テスト分割の年度の関係」について、コードレベルで確認した内容を以下に整理する。</w:t>
      </w:r>
    </w:p>
    <w:p>
      <w:pPr>
        <w:spacing w:after="60" w:before="160"/>
      </w:pPr>
    </w:p>
    <w:p>
      <w:pPr>
        <w:pStyle w:val="Heading2"/>
        <w:spacing w:after="120" w:before="280"/>
      </w:pPr>
      <w:r>
        <w:rPr>
          <w:rFonts w:ascii="MS Gothic" w:cs="MS Gothic" w:eastAsia="MS Gothic" w:hAnsi="MS Gothic"/>
        </w:rPr>
        <w:t xml:space="preserve">2.1 処理フローの全体像</w:t>
      </w:r>
    </w:p>
    <w:p>
      <w:pPr>
        <w:spacing w:after="70" w:before="80"/>
        <w:jc w:val="left"/>
      </w:pPr>
      <w:r>
        <w:rPr>
          <w:rFonts w:ascii="MS Gothic" w:cs="MS Gothic" w:eastAsia="MS Gothic" w:hAnsi="MS Gothic"/>
          <w:b w:val="false"/>
          <w:bCs w:val="false"/>
          <w:color w:val="000000"/>
          <w:sz w:val="21"/>
          <w:szCs w:val="21"/>
        </w:rPr>
        <w:t xml:space="preserve">クラスタリングは以下の4ステップで構成されており、各ステップの処理対象と情報漏洩の有無を表1に示す。</w:t>
      </w:r>
    </w:p>
    <w:p>
      <w:pPr>
        <w:spacing w:after="60" w:before="120"/>
      </w:pPr>
    </w:p>
    <w:p>
      <w:pPr>
        <w:spacing w:after="60" w:before="160"/>
        <w:jc w:val="center"/>
      </w:pPr>
      <w:r>
        <w:rPr>
          <w:rFonts w:ascii="MS Gothic" w:cs="MS Gothic" w:eastAsia="MS Gothic" w:hAnsi="MS Gothic"/>
          <w:b/>
          <w:bCs/>
          <w:color w:val="000000"/>
          <w:sz w:val="21"/>
          <w:szCs w:val="21"/>
        </w:rPr>
        <w:t xml:space="preserve">表1. クラスタリングパイプライン — 年度独立性の確認</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400"/>
        <w:gridCol w:w="2426"/>
      </w:tblGrid>
      <w:tr>
        <w:trPr>
          <w:tblHeader/>
        </w:trPr>
        <w:tc>
          <w:tcPr>
            <w:tcW w:type="dxa" w:w="10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ステップ</w:t>
            </w:r>
          </w:p>
        </w:tc>
        <w:tc>
          <w:tcPr>
            <w:tcW w:type="dxa" w:w="32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処理内容</w:t>
            </w:r>
          </w:p>
        </w:tc>
        <w:tc>
          <w:tcPr>
            <w:tcW w:type="dxa" w:w="24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対象データ</w:t>
            </w:r>
          </w:p>
        </w:tc>
        <w:tc>
          <w:tcPr>
            <w:tcW w:type="dxa" w:w="2426"/>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情報漏洩の有無</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center"/>
            </w:pPr>
            <w:r>
              <w:rPr>
                <w:rFonts w:ascii="MS Gothic" w:cs="MS Gothic" w:eastAsia="MS Gothic" w:hAnsi="MS Gothic"/>
                <w:b/>
                <w:bCs/>
                <w:color w:val="000000"/>
                <w:sz w:val="18"/>
                <w:szCs w:val="18"/>
              </w:rPr>
              <w:t xml:space="preserve">①
標準化</w:t>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signed_log1p 変換済みの財務変数を、年度ごとにグループ化して z-score 標準化
groupby('年度').transform(z_score)</w:t>
            </w:r>
          </w:p>
        </w:tc>
        <w:tc>
          <w:tcPr>
            <w:tcW w:type="dxa" w:w="2400"/>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年度単位で独立処理</w:t>
            </w:r>
          </w:p>
        </w:tc>
        <w:tc>
          <w:tcPr>
            <w:tcW w:type="dxa" w:w="2426"/>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なし ✓
各年度の平均・標準偏差のみ使用</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center"/>
            </w:pPr>
            <w:r>
              <w:rPr>
                <w:rFonts w:ascii="MS Gothic" w:cs="MS Gothic" w:eastAsia="MS Gothic" w:hAnsi="MS Gothic"/>
                <w:b/>
                <w:bCs/>
                <w:color w:val="000000"/>
                <w:sz w:val="18"/>
                <w:szCs w:val="18"/>
              </w:rPr>
              <w:t xml:space="preserve">②
PCA</w:t>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全年度の標準化済みデータを用いて PCA を一括 fit し、全サンプルを PC スコアに変換
pca.fit(X_std_all) → pca.transform(...)</w:t>
            </w:r>
          </w:p>
        </w:tc>
        <w:tc>
          <w:tcPr>
            <w:tcW w:type="dxa" w:w="2400"/>
            <w:tcBorders>
              <w:top w:val="single" w:color="AAAAAA" w:sz="4"/>
              <w:left w:val="single" w:color="AAAAAA" w:sz="4"/>
              <w:bottom w:val="single" w:color="AAAAAA" w:sz="4"/>
              <w:right w:val="single" w:color="AAAAAA" w:sz="4"/>
            </w:tcBorders>
            <w:shd w:fill="FFF9E6" w:val="clear"/>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全年度（2010〜2024）を一括</w:t>
            </w:r>
          </w:p>
        </w:tc>
        <w:tc>
          <w:tcPr>
            <w:tcW w:type="dxa" w:w="2426"/>
            <w:tcBorders>
              <w:top w:val="single" w:color="AAAAAA" w:sz="4"/>
              <w:left w:val="single" w:color="AAAAAA" w:sz="4"/>
              <w:bottom w:val="single" w:color="AAAAAA" w:sz="4"/>
              <w:right w:val="single" w:color="AAAAAA" w:sz="4"/>
            </w:tcBorders>
            <w:shd w:fill="FFF9E6" w:val="clear"/>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軽微な懸念 ⚠️
テスト期間の分散構造がPC成分に含まれる（後述）</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center"/>
            </w:pPr>
            <w:r>
              <w:rPr>
                <w:rFonts w:ascii="MS Gothic" w:cs="MS Gothic" w:eastAsia="MS Gothic" w:hAnsi="MS Gothic"/>
                <w:b/>
                <w:bCs/>
                <w:color w:val="000000"/>
                <w:sz w:val="18"/>
                <w:szCs w:val="18"/>
              </w:rPr>
              <w:t xml:space="preserve">③
K-Means</w:t>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年度ごとに独立して K-Means（k=5）を fit_predict
各年の PC スコア（PC1〜PC3）のみを使用</w:t>
            </w:r>
          </w:p>
        </w:tc>
        <w:tc>
          <w:tcPr>
            <w:tcW w:type="dxa" w:w="2400"/>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年度単位で独立処理</w:t>
            </w:r>
          </w:p>
        </w:tc>
        <w:tc>
          <w:tcPr>
            <w:tcW w:type="dxa" w:w="2426"/>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なし ✓
他年度のクラスター情報は使用しない</w:t>
            </w:r>
          </w:p>
        </w:tc>
      </w:tr>
      <w:tr>
        <w:tc>
          <w:tcPr>
            <w:tcW w:type="dxa" w:w="10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center"/>
            </w:pPr>
            <w:r>
              <w:rPr>
                <w:rFonts w:ascii="MS Gothic" w:cs="MS Gothic" w:eastAsia="MS Gothic" w:hAnsi="MS Gothic"/>
                <w:b/>
                <w:bCs/>
                <w:color w:val="000000"/>
                <w:sz w:val="18"/>
                <w:szCs w:val="18"/>
              </w:rPr>
              <w:t xml:space="preserve">④
ハンガリアン法</w:t>
            </w:r>
          </w:p>
        </w:tc>
        <w:tc>
          <w:tcPr>
            <w:tcW w:type="dxa" w:w="3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前年の重心との距離を最小化するようラベルを対応付け、年度間のクラスター名称を整合
linear_sum_assignment(cdist(prev_centers, centers))</w:t>
            </w:r>
          </w:p>
        </w:tc>
        <w:tc>
          <w:tcPr>
            <w:tcW w:type="dxa" w:w="2400"/>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前年→当年の一方向のみ</w:t>
            </w:r>
          </w:p>
        </w:tc>
        <w:tc>
          <w:tcPr>
            <w:tcW w:type="dxa" w:w="2426"/>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なし ✓
前年のデータを参照するが未来情報は不使用</w:t>
            </w:r>
          </w:p>
        </w:tc>
      </w:tr>
    </w:tbl>
    <w:p>
      <w:pPr>
        <w:spacing w:after="80" w:before="200"/>
      </w:pPr>
    </w:p>
    <w:p>
      <w:pPr>
        <w:pStyle w:val="Heading2"/>
        <w:spacing w:after="120" w:before="280"/>
      </w:pPr>
      <w:r>
        <w:rPr>
          <w:rFonts w:ascii="MS Gothic" w:cs="MS Gothic" w:eastAsia="MS Gothic" w:hAnsi="MS Gothic"/>
        </w:rPr>
        <w:t xml:space="preserve">2.2 唯一の留意点：PCAの一括推定</w:t>
      </w:r>
    </w:p>
    <w:p>
      <w:pPr>
        <w:spacing w:after="70" w:before="100"/>
        <w:jc w:val="left"/>
      </w:pPr>
      <w:r>
        <w:rPr>
          <w:rFonts w:ascii="MS Gothic" w:cs="MS Gothic" w:eastAsia="MS Gothic" w:hAnsi="MS Gothic"/>
          <w:b w:val="false"/>
          <w:bCs w:val="false"/>
          <w:color w:val="000000"/>
          <w:sz w:val="21"/>
          <w:szCs w:val="21"/>
        </w:rPr>
        <w:t xml:space="preserve">上記のうち ② PCA のみ、全年度（2010〜2024年）のデータを一括して fit している。これは技術的には「テスト期間（2022〜2024年）の分散構造がPC成分の計算に含まれる」という情報漏洩（リーク）に相当する。</w:t>
      </w:r>
    </w:p>
    <w:p>
      <w:pPr>
        <w:spacing w:after="70" w:before="80"/>
        <w:jc w:val="left"/>
      </w:pPr>
      <w:r>
        <w:rPr>
          <w:rFonts w:ascii="MS Gothic" w:cs="MS Gothic" w:eastAsia="MS Gothic" w:hAnsi="MS Gothic"/>
          <w:b w:val="false"/>
          <w:bCs w:val="false"/>
          <w:color w:val="000000"/>
          <w:sz w:val="21"/>
          <w:szCs w:val="21"/>
        </w:rPr>
        <w:t xml:space="preserve">ただし、以下の理由から実質的な影響は最小限と判断できる（表2）。</w:t>
      </w:r>
    </w:p>
    <w:p>
      <w:pPr>
        <w:spacing w:after="60" w:before="120"/>
      </w:pPr>
    </w:p>
    <w:p>
      <w:pPr>
        <w:spacing w:after="60" w:before="160"/>
        <w:jc w:val="center"/>
      </w:pPr>
      <w:r>
        <w:rPr>
          <w:rFonts w:ascii="MS Gothic" w:cs="MS Gothic" w:eastAsia="MS Gothic" w:hAnsi="MS Gothic"/>
          <w:b/>
          <w:bCs/>
          <w:color w:val="000000"/>
          <w:sz w:val="21"/>
          <w:szCs w:val="21"/>
        </w:rPr>
        <w:t xml:space="preserve">表2. PCA一括推定による影響の評価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26"/>
        <w:gridCol w:w="3200"/>
      </w:tblGrid>
      <w:tr>
        <w:trPr>
          <w:tblHeader/>
        </w:trPr>
        <w:tc>
          <w:tcPr>
            <w:tcW w:type="dxa" w:w="24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評価項目</w:t>
            </w:r>
          </w:p>
        </w:tc>
        <w:tc>
          <w:tcPr>
            <w:tcW w:type="dxa" w:w="3426"/>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内容</w:t>
            </w:r>
          </w:p>
        </w:tc>
        <w:tc>
          <w:tcPr>
            <w:tcW w:type="dxa" w:w="32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影響度</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PCAは教師なし手法</w:t>
            </w:r>
          </w:p>
        </w:tc>
        <w:tc>
          <w:tcPr>
            <w:tcW w:type="dxa" w:w="34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目的変数（遷移するかどうか）を一切使用しない。テスト期間データを含めてもPC成分の計算に過適合リスクは生じない。</w:t>
            </w:r>
          </w:p>
        </w:tc>
        <w:tc>
          <w:tcPr>
            <w:tcW w:type="dxa" w:w="3200"/>
            <w:tcBorders>
              <w:top w:val="single" w:color="AAAAAA" w:sz="4"/>
              <w:left w:val="single" w:color="AAAAAA" w:sz="4"/>
              <w:bottom w:val="single" w:color="AAAAAA" w:sz="4"/>
              <w:right w:val="single" w:color="AAAAAA" w:sz="4"/>
            </w:tcBorders>
            <w:shd w:fill="FFF9E6" w:val="clear"/>
            <w:tcMar>
              <w:top w:type="dxa" w:w="80"/>
              <w:left w:type="dxa" w:w="120"/>
              <w:bottom w:type="dxa" w:w="80"/>
              <w:right w:type="dxa" w:w="120"/>
            </w:tcMar>
            <w:vAlign w:val="top"/>
          </w:tcPr>
          <w:p>
            <w:pPr>
              <w:jc w:val="left"/>
            </w:pPr>
            <w:r>
              <w:rPr>
                <w:rFonts w:ascii="MS Gothic" w:cs="MS Gothic" w:eastAsia="MS Gothic" w:hAnsi="MS Gothic"/>
                <w:b/>
                <w:bCs/>
                <w:color w:val="7A5C00"/>
                <w:sz w:val="18"/>
                <w:szCs w:val="18"/>
              </w:rPr>
              <w:t xml:space="preserve">軽微</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財務変数の分散構造の安定性</w:t>
            </w:r>
          </w:p>
        </w:tc>
        <w:tc>
          <w:tcPr>
            <w:tcW w:type="dxa" w:w="34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上場企業の財務比率は年度間で分散構造が大きく変化しない。2010-2021年のみでPCAを推定しても、2022-2024年のデータを加えてもPC成分はほぼ同じになる。</w:t>
            </w:r>
          </w:p>
        </w:tc>
        <w:tc>
          <w:tcPr>
            <w:tcW w:type="dxa" w:w="3200"/>
            <w:tcBorders>
              <w:top w:val="single" w:color="AAAAAA" w:sz="4"/>
              <w:left w:val="single" w:color="AAAAAA" w:sz="4"/>
              <w:bottom w:val="single" w:color="AAAAAA" w:sz="4"/>
              <w:right w:val="single" w:color="AAAAAA" w:sz="4"/>
            </w:tcBorders>
            <w:shd w:fill="FFF9E6" w:val="clear"/>
            <w:tcMar>
              <w:top w:type="dxa" w:w="80"/>
              <w:left w:type="dxa" w:w="120"/>
              <w:bottom w:type="dxa" w:w="80"/>
              <w:right w:type="dxa" w:w="120"/>
            </w:tcMar>
            <w:vAlign w:val="top"/>
          </w:tcPr>
          <w:p>
            <w:pPr>
              <w:jc w:val="left"/>
            </w:pPr>
            <w:r>
              <w:rPr>
                <w:rFonts w:ascii="MS Gothic" w:cs="MS Gothic" w:eastAsia="MS Gothic" w:hAnsi="MS Gothic"/>
                <w:b/>
                <w:bCs/>
                <w:color w:val="7A5C00"/>
                <w:sz w:val="18"/>
                <w:szCs w:val="18"/>
              </w:rPr>
              <w:t xml:space="preserve">軽微</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予測モデルの特徴量</w:t>
            </w:r>
          </w:p>
        </w:tc>
        <w:tc>
          <w:tcPr>
            <w:tcW w:type="dxa" w:w="34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06_prediction.ipynb のXGBoostはPCAスコアではなく生の_log変数を特徴量として使用している。PCAを経由するのはCluster変数のみであり、影響経路が限定的。</w:t>
            </w:r>
          </w:p>
        </w:tc>
        <w:tc>
          <w:tcPr>
            <w:tcW w:type="dxa" w:w="3200"/>
            <w:tcBorders>
              <w:top w:val="single" w:color="AAAAAA" w:sz="4"/>
              <w:left w:val="single" w:color="AAAAAA" w:sz="4"/>
              <w:bottom w:val="single" w:color="AAAAAA" w:sz="4"/>
              <w:right w:val="single" w:color="AAAAAA" w:sz="4"/>
            </w:tcBorders>
            <w:shd w:fill="FFF0E6" w:val="clear"/>
            <w:tcMar>
              <w:top w:type="dxa" w:w="80"/>
              <w:left w:type="dxa" w:w="120"/>
              <w:bottom w:type="dxa" w:w="80"/>
              <w:right w:type="dxa" w:w="120"/>
            </w:tcMar>
            <w:vAlign w:val="top"/>
          </w:tcPr>
          <w:p>
            <w:pPr>
              <w:jc w:val="left"/>
            </w:pPr>
            <w:r>
              <w:rPr>
                <w:rFonts w:ascii="MS Gothic" w:cs="MS Gothic" w:eastAsia="MS Gothic" w:hAnsi="MS Gothic"/>
                <w:b/>
                <w:bCs/>
                <w:color w:val="000000"/>
                <w:sz w:val="18"/>
                <w:szCs w:val="18"/>
              </w:rPr>
              <w:t xml:space="preserve">最小</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比較: K-Means は年度独立</w:t>
            </w:r>
          </w:p>
        </w:tc>
        <w:tc>
          <w:tcPr>
            <w:tcW w:type="dxa" w:w="34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クラスターラベルを付与するK-Meansは年度ごとに独立して推定されており、2022年のクラスター構造が2015年のラベルに影響することはない。</w:t>
            </w:r>
          </w:p>
        </w:tc>
        <w:tc>
          <w:tcPr>
            <w:tcW w:type="dxa" w:w="3200"/>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vAlign w:val="top"/>
          </w:tcPr>
          <w:p>
            <w:pPr>
              <w:jc w:val="left"/>
            </w:pPr>
            <w:r>
              <w:rPr>
                <w:rFonts w:ascii="MS Gothic" w:cs="MS Gothic" w:eastAsia="MS Gothic" w:hAnsi="MS Gothic"/>
                <w:b/>
                <w:bCs/>
                <w:color w:val="1B6B3A"/>
                <w:sz w:val="18"/>
                <w:szCs w:val="18"/>
              </w:rPr>
              <w:t xml:space="preserve">影響なし ✓</w:t>
            </w:r>
          </w:p>
        </w:tc>
      </w:tr>
    </w:tbl>
    <w:p>
      <w:pPr>
        <w:spacing w:after="80" w:before="160"/>
      </w:pPr>
    </w:p>
    <w:p>
      <w:pPr>
        <w:pStyle w:val="Heading2"/>
        <w:spacing w:after="120" w:before="280"/>
      </w:pPr>
      <w:r>
        <w:rPr>
          <w:rFonts w:ascii="MS Gothic" w:cs="MS Gothic" w:eastAsia="MS Gothic" w:hAnsi="MS Gothic"/>
        </w:rPr>
        <w:t xml:space="preserve">2.3 厳密な対処法（必要に応じて）</w:t>
      </w:r>
    </w:p>
    <w:p>
      <w:pPr>
        <w:spacing w:after="70" w:before="100"/>
        <w:jc w:val="left"/>
      </w:pPr>
      <w:r>
        <w:rPr>
          <w:rFonts w:ascii="MS Gothic" w:cs="MS Gothic" w:eastAsia="MS Gothic" w:hAnsi="MS Gothic"/>
          <w:b w:val="false"/>
          <w:bCs w:val="false"/>
          <w:color w:val="000000"/>
          <w:sz w:val="21"/>
          <w:szCs w:val="21"/>
        </w:rPr>
        <w:t xml:space="preserve">厳密性をさらに高める場合は、PCAの fit を訓練年度（2010〜2021年）のみに限定し、テスト期間は同じPC基底で transform するだけにすればよい。</w:t>
      </w:r>
    </w:p>
    <w:p>
      <w:pPr>
        <w:spacing w:after="120" w:before="120"/>
      </w:pPr>
      <w:r>
        <w:rPr>
          <w:rFonts w:ascii="Courier New" w:cs="Courier New" w:eastAsia="Courier New" w:hAnsi="Courier New"/>
          <w:b/>
          <w:bCs/>
          <w:sz w:val="20"/>
          <w:szCs w:val="20"/>
        </w:rPr>
        <w:t xml:space="preserve"># 現状</w:t>
      </w:r>
      <w:r>
        <w:rPr>
          <w:rFonts w:ascii="Courier New" w:cs="Courier New" w:eastAsia="Courier New" w:hAnsi="Courier New"/>
          <w:sz w:val="20"/>
          <w:szCs w:val="20"/>
        </w:rPr>
        <w:t xml:space="preserve">
pca.fit(X_std_all)                   # 全年度で fit</w:t>
      </w:r>
      <w:r>
        <w:rPr>
          <w:rFonts w:ascii="Courier New" w:cs="Courier New" w:eastAsia="Courier New" w:hAnsi="Courier New"/>
          <w:b/>
          <w:bCs/>
          <w:sz w:val="20"/>
          <w:szCs w:val="20"/>
        </w:rPr>
        <w:t xml:space="preserve">
# 厳密にするなら</w:t>
      </w:r>
      <w:r>
        <w:rPr>
          <w:rFonts w:ascii="Courier New" w:cs="Courier New" w:eastAsia="Courier New" w:hAnsi="Courier New"/>
          <w:sz w:val="20"/>
          <w:szCs w:val="20"/>
        </w:rPr>
        <w:t xml:space="preserve">
pca.fit(X_std_train)                 # 2010-2021のみで fit</w:t>
      </w:r>
      <w:r>
        <w:rPr>
          <w:rFonts w:ascii="Courier New" w:cs="Courier New" w:eastAsia="Courier New" w:hAnsi="Courier New"/>
          <w:sz w:val="20"/>
          <w:szCs w:val="20"/>
        </w:rPr>
        <w:t xml:space="preserve">
PC_test = pca.transform(X_std_test)  # 同じ基底で変換</w:t>
      </w:r>
    </w:p>
    <w:p>
      <w:pPr>
        <w:spacing w:after="70" w:before="120"/>
        <w:jc w:val="left"/>
      </w:pPr>
      <w:r>
        <w:rPr>
          <w:rFonts w:ascii="MS Gothic" w:cs="MS Gothic" w:eastAsia="MS Gothic" w:hAnsi="MS Gothic"/>
          <w:b w:val="false"/>
          <w:bCs w:val="false"/>
          <w:color w:val="000000"/>
          <w:sz w:val="21"/>
          <w:szCs w:val="21"/>
        </w:rPr>
        <w:t xml:space="preserve">財務比率の分散構造は年度間で安定しているため、この修正による結果への影響は実質的にないと考えられる。論文では「PCAは全サンプルで推定したが、財務変数の分散構造の安定性から予測結果への影響は軽微である」と注釈する対応が現実的である。</w:t>
      </w:r>
    </w:p>
    <w:p>
      <w:pPr>
        <w:pStyle w:val="Heading2"/>
        <w:spacing w:after="120" w:before="280"/>
      </w:pPr>
      <w:r>
        <w:rPr>
          <w:rFonts w:ascii="MS Gothic" w:cs="MS Gothic" w:eastAsia="MS Gothic" w:hAnsi="MS Gothic"/>
        </w:rPr>
        <w:t xml:space="preserve">2.4 まとめ</w:t>
      </w:r>
    </w:p>
    <w:p>
      <w:pPr>
        <w:spacing w:after="70" w:before="100"/>
        <w:jc w:val="left"/>
      </w:pPr>
      <w:r>
        <w:rPr>
          <w:rFonts w:ascii="MS Gothic" w:cs="MS Gothic" w:eastAsia="MS Gothic" w:hAnsi="MS Gothic"/>
          <w:b w:val="false"/>
          <w:bCs w:val="false"/>
          <w:color w:val="000000"/>
          <w:sz w:val="21"/>
          <w:szCs w:val="21"/>
        </w:rPr>
        <w:t xml:space="preserve">訓練データとテストデータの年度分割が推定結果に与える影響について：</w:t>
      </w:r>
    </w:p>
    <w:p>
      <w:pPr>
        <w:spacing w:after="40" w:before="60"/>
        <w:jc w:val="left"/>
      </w:pPr>
      <w:r>
        <w:rPr>
          <w:rFonts w:ascii="MS Gothic" w:cs="MS Gothic" w:eastAsia="MS Gothic" w:hAnsi="MS Gothic"/>
          <w:b w:val="false"/>
          <w:bCs w:val="false"/>
          <w:color w:val="000000"/>
          <w:sz w:val="21"/>
          <w:szCs w:val="21"/>
        </w:rPr>
        <w:t xml:space="preserve">・ Z-score標準化：年度ごとに独立 → 情報漏洩なし</w:t>
      </w:r>
    </w:p>
    <w:p>
      <w:pPr>
        <w:spacing w:after="40" w:before="40"/>
        <w:jc w:val="left"/>
      </w:pPr>
      <w:r>
        <w:rPr>
          <w:rFonts w:ascii="MS Gothic" w:cs="MS Gothic" w:eastAsia="MS Gothic" w:hAnsi="MS Gothic"/>
          <w:b w:val="false"/>
          <w:bCs w:val="false"/>
          <w:color w:val="000000"/>
          <w:sz w:val="21"/>
          <w:szCs w:val="21"/>
        </w:rPr>
        <w:t xml:space="preserve">・ K-Means クラスタリング：年度ごとに独立 → 情報漏洩なし（主要な懸念は存在しない）</w:t>
      </w:r>
    </w:p>
    <w:p>
      <w:pPr>
        <w:spacing w:after="40" w:before="40"/>
        <w:jc w:val="left"/>
      </w:pPr>
      <w:r>
        <w:rPr>
          <w:rFonts w:ascii="MS Gothic" w:cs="MS Gothic" w:eastAsia="MS Gothic" w:hAnsi="MS Gothic"/>
          <w:b w:val="false"/>
          <w:bCs w:val="false"/>
          <w:color w:val="000000"/>
          <w:sz w:val="21"/>
          <w:szCs w:val="21"/>
        </w:rPr>
        <w:t xml:space="preserve">・ ハンガリアン法：前年→当年の一方向のみ → 情報漏洩なし</w:t>
      </w:r>
    </w:p>
    <w:p>
      <w:pPr>
        <w:spacing w:after="40" w:before="40"/>
        <w:jc w:val="left"/>
      </w:pPr>
      <w:r>
        <w:rPr>
          <w:rFonts w:ascii="MS Gothic" w:cs="MS Gothic" w:eastAsia="MS Gothic" w:hAnsi="MS Gothic"/>
          <w:b w:val="false"/>
          <w:bCs w:val="false"/>
          <w:color w:val="000000"/>
          <w:sz w:val="21"/>
          <w:szCs w:val="21"/>
        </w:rPr>
        <w:t xml:space="preserve">・ PCA：全期間一括推定 → 軽微な懸念があるが教師なし・分散安定性から実質影響は最小</w:t>
      </w:r>
    </w:p>
    <w:p>
      <w:pPr>
        <w:spacing w:after="100" w:before="40"/>
        <w:jc w:val="left"/>
      </w:pPr>
      <w:r>
        <w:rPr>
          <w:rFonts w:ascii="MS Gothic" w:cs="MS Gothic" w:eastAsia="MS Gothic" w:hAnsi="MS Gothic"/>
          <w:b w:val="false"/>
          <w:bCs w:val="false"/>
          <w:color w:val="000000"/>
          <w:sz w:val="21"/>
          <w:szCs w:val="21"/>
        </w:rPr>
        <w:t xml:space="preserve">・ 予測モデルの特徴量：PCAスコアではなく生の_log変数を使用 → PCА漏洩の伝播経路が限定的</w:t>
      </w:r>
    </w:p>
    <w:p>
      <w:r>
        <w:br w:type="page"/>
      </w:r>
    </w:p>
    <w:p>
      <w:pPr>
        <w:pStyle w:val="Heading1"/>
        <w:spacing w:after="160" w:before="360"/>
      </w:pPr>
      <w:r>
        <w:rPr>
          <w:rFonts w:ascii="MS Gothic" w:cs="MS Gothic" w:eastAsia="MS Gothic" w:hAnsi="MS Gothic"/>
        </w:rPr>
        <w:t xml:space="preserve">3. 予測分析：手法と結果</w:t>
      </w:r>
    </w:p>
    <w:p>
      <w:pPr>
        <w:pBdr>
          <w:bottom w:val="single" w:color="2E4057" w:sz="6" w:space="1"/>
        </w:pBdr>
        <w:spacing w:after="60" w:before="60"/>
      </w:pPr>
    </w:p>
    <w:p>
      <w:pPr>
        <w:pStyle w:val="Heading2"/>
        <w:spacing w:after="120" w:before="280"/>
      </w:pPr>
      <w:r>
        <w:rPr>
          <w:rFonts w:ascii="MS Gothic" w:cs="MS Gothic" w:eastAsia="MS Gothic" w:hAnsi="MS Gothic"/>
        </w:rPr>
        <w:t xml:space="preserve">3.1 分析概要</w:t>
      </w:r>
    </w:p>
    <w:p>
      <w:pPr>
        <w:spacing w:after="70" w:before="80"/>
        <w:jc w:val="left"/>
      </w:pPr>
      <w:r>
        <w:rPr>
          <w:rFonts w:ascii="MS Gothic" w:cs="MS Gothic" w:eastAsia="MS Gothic" w:hAnsi="MS Gothic"/>
          <w:b w:val="false"/>
          <w:bCs w:val="false"/>
          <w:color w:val="000000"/>
          <w:sz w:val="21"/>
          <w:szCs w:val="21"/>
        </w:rPr>
        <w:t xml:space="preserve">05_main_analysis.ipynb で構築したクラスタリング結果（df_model_v2.csv, 46,084サンプル）を用いて、2段階の予測分析を実施した。時系列ベースの分割（Train: 2010-2021 / Test: 2022-2024）を採用し、先読みバイアスを回避している。</w:t>
      </w:r>
    </w:p>
    <w:p>
      <w:pPr>
        <w:spacing w:after="70" w:before="60"/>
        <w:jc w:val="left"/>
      </w:pPr>
      <w:r>
        <w:rPr>
          <w:rFonts w:ascii="MS Gothic" w:cs="MS Gothic" w:eastAsia="MS Gothic" w:hAnsi="MS Gothic"/>
          <w:b w:val="false"/>
          <w:bCs w:val="false"/>
          <w:color w:val="000000"/>
          <w:sz w:val="21"/>
          <w:szCs w:val="21"/>
        </w:rPr>
        <w:t xml:space="preserve">特徴量（12変数）: 11財務変数（signed_log1p変換済み）＋ 現在クラスター（整数0-4）</w:t>
      </w:r>
    </w:p>
    <w:p>
      <w:pPr>
        <w:spacing w:after="60" w:before="120"/>
      </w:pPr>
    </w:p>
    <w:p>
      <w:pPr>
        <w:pStyle w:val="Heading2"/>
        <w:spacing w:after="120" w:before="280"/>
      </w:pPr>
      <w:r>
        <w:rPr>
          <w:rFonts w:ascii="MS Gothic" w:cs="MS Gothic" w:eastAsia="MS Gothic" w:hAnsi="MS Gothic"/>
        </w:rPr>
        <w:t xml:space="preserve">3.2 Step 1 — Binary 分類（遷移するかどうか）</w:t>
      </w:r>
    </w:p>
    <w:p>
      <w:pPr>
        <w:spacing w:after="70" w:before="80"/>
        <w:jc w:val="left"/>
      </w:pPr>
      <w:r>
        <w:rPr>
          <w:rFonts w:ascii="MS Gothic" w:cs="MS Gothic" w:eastAsia="MS Gothic" w:hAnsi="MS Gothic"/>
          <w:b w:val="false"/>
          <w:bCs w:val="false"/>
          <w:color w:val="000000"/>
          <w:sz w:val="21"/>
          <w:szCs w:val="21"/>
        </w:rPr>
        <w:t xml:space="preserve">目的: 翌年にクラスター遷移するか否かを予測し、どの財務特性が遷移を引き起こすかを解明する。不均衡（非遷移80% / 遷移20%）に対してXGBoostはscale_pos_weight=3.99で補正した。</w:t>
      </w:r>
    </w:p>
    <w:p>
      <w:pPr>
        <w:spacing w:after="60" w:before="120"/>
      </w:pPr>
    </w:p>
    <w:p>
      <w:pPr>
        <w:spacing w:after="60" w:before="160"/>
        <w:jc w:val="center"/>
      </w:pPr>
      <w:r>
        <w:rPr>
          <w:rFonts w:ascii="MS Gothic" w:cs="MS Gothic" w:eastAsia="MS Gothic" w:hAnsi="MS Gothic"/>
          <w:b/>
          <w:bCs/>
          <w:color w:val="000000"/>
          <w:sz w:val="21"/>
          <w:szCs w:val="21"/>
        </w:rPr>
        <w:t xml:space="preserve">表3. Binary 分類モデル性能比較（Test: 2022-2024）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2926"/>
      </w:tblGrid>
      <w:tr>
        <w:trPr>
          <w:tblHeader/>
        </w:trPr>
        <w:tc>
          <w:tcPr>
            <w:tcW w:type="dxa" w:w="25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モデル</w:t>
            </w:r>
          </w:p>
        </w:tc>
        <w:tc>
          <w:tcPr>
            <w:tcW w:type="dxa" w:w="18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Accuracy</w:t>
            </w:r>
          </w:p>
        </w:tc>
        <w:tc>
          <w:tcPr>
            <w:tcW w:type="dxa" w:w="18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AUC-ROC</w:t>
            </w:r>
          </w:p>
        </w:tc>
        <w:tc>
          <w:tcPr>
            <w:tcW w:type="dxa" w:w="2926"/>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備考</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Logistic Regression (baseline)</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center"/>
            </w:pPr>
            <w:r>
              <w:rPr>
                <w:rFonts w:ascii="MS Gothic" w:cs="MS Gothic" w:eastAsia="MS Gothic" w:hAnsi="MS Gothic"/>
                <w:b w:val="false"/>
                <w:bCs w:val="false"/>
                <w:color w:val="000000"/>
                <w:sz w:val="18"/>
                <w:szCs w:val="18"/>
              </w:rPr>
              <w:t xml:space="preserve">62%</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center"/>
            </w:pPr>
            <w:r>
              <w:rPr>
                <w:rFonts w:ascii="MS Gothic" w:cs="MS Gothic" w:eastAsia="MS Gothic" w:hAnsi="MS Gothic"/>
                <w:b w:val="false"/>
                <w:bCs w:val="false"/>
                <w:color w:val="000000"/>
                <w:sz w:val="18"/>
                <w:szCs w:val="18"/>
              </w:rPr>
              <w:t xml:space="preserve">0.630</w:t>
            </w:r>
          </w:p>
        </w:tc>
        <w:tc>
          <w:tcPr>
            <w:tcW w:type="dxa" w:w="29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class_weight=balanced</w:t>
            </w:r>
          </w:p>
        </w:tc>
      </w:tr>
      <w:tr>
        <w:tc>
          <w:tcPr>
            <w:tcW w:type="dxa" w:w="2500"/>
            <w:tcBorders>
              <w:top w:val="single" w:color="AAAAAA" w:sz="4"/>
              <w:left w:val="single" w:color="AAAAAA" w:sz="4"/>
              <w:bottom w:val="single" w:color="AAAAAA" w:sz="4"/>
              <w:right w:val="single" w:color="AAAAAA" w:sz="4"/>
            </w:tcBorders>
            <w:shd w:fill="EBF5FF" w:val="clear"/>
            <w:tcMar>
              <w:top w:type="dxa" w:w="80"/>
              <w:left w:type="dxa" w:w="120"/>
              <w:bottom w:type="dxa" w:w="80"/>
              <w:right w:type="dxa" w:w="120"/>
            </w:tcMar>
            <w:vAlign w:val="top"/>
          </w:tcPr>
          <w:p>
            <w:pPr>
              <w:jc w:val="left"/>
            </w:pPr>
            <w:r>
              <w:rPr>
                <w:rFonts w:ascii="MS Gothic" w:cs="MS Gothic" w:eastAsia="MS Gothic" w:hAnsi="MS Gothic"/>
                <w:b/>
                <w:bCs/>
                <w:color w:val="000000"/>
                <w:sz w:val="18"/>
                <w:szCs w:val="18"/>
              </w:rPr>
              <w:t xml:space="preserve">XGBoost</w:t>
            </w:r>
          </w:p>
        </w:tc>
        <w:tc>
          <w:tcPr>
            <w:tcW w:type="dxa" w:w="1800"/>
            <w:tcBorders>
              <w:top w:val="single" w:color="AAAAAA" w:sz="4"/>
              <w:left w:val="single" w:color="AAAAAA" w:sz="4"/>
              <w:bottom w:val="single" w:color="AAAAAA" w:sz="4"/>
              <w:right w:val="single" w:color="AAAAAA" w:sz="4"/>
            </w:tcBorders>
            <w:shd w:fill="EBF5FF" w:val="clear"/>
            <w:tcMar>
              <w:top w:type="dxa" w:w="80"/>
              <w:left w:type="dxa" w:w="120"/>
              <w:bottom w:type="dxa" w:w="80"/>
              <w:right w:type="dxa" w:w="120"/>
            </w:tcMar>
            <w:vAlign w:val="top"/>
          </w:tcPr>
          <w:p>
            <w:pPr>
              <w:jc w:val="center"/>
            </w:pPr>
            <w:r>
              <w:rPr>
                <w:rFonts w:ascii="MS Gothic" w:cs="MS Gothic" w:eastAsia="MS Gothic" w:hAnsi="MS Gothic"/>
                <w:b w:val="false"/>
                <w:bCs w:val="false"/>
                <w:color w:val="000000"/>
                <w:sz w:val="18"/>
                <w:szCs w:val="18"/>
              </w:rPr>
              <w:t xml:space="preserve">69%</w:t>
            </w:r>
          </w:p>
        </w:tc>
        <w:tc>
          <w:tcPr>
            <w:tcW w:type="dxa" w:w="1800"/>
            <w:tcBorders>
              <w:top w:val="single" w:color="AAAAAA" w:sz="4"/>
              <w:left w:val="single" w:color="AAAAAA" w:sz="4"/>
              <w:bottom w:val="single" w:color="AAAAAA" w:sz="4"/>
              <w:right w:val="single" w:color="AAAAAA" w:sz="4"/>
            </w:tcBorders>
            <w:shd w:fill="EBF5FF" w:val="clear"/>
            <w:tcMar>
              <w:top w:type="dxa" w:w="80"/>
              <w:left w:type="dxa" w:w="120"/>
              <w:bottom w:type="dxa" w:w="80"/>
              <w:right w:type="dxa" w:w="120"/>
            </w:tcMar>
            <w:vAlign w:val="top"/>
          </w:tcPr>
          <w:p>
            <w:pPr>
              <w:jc w:val="center"/>
            </w:pPr>
            <w:r>
              <w:rPr>
                <w:rFonts w:ascii="MS Gothic" w:cs="MS Gothic" w:eastAsia="MS Gothic" w:hAnsi="MS Gothic"/>
                <w:b/>
                <w:bCs/>
                <w:color w:val="000000"/>
                <w:sz w:val="18"/>
                <w:szCs w:val="18"/>
              </w:rPr>
              <w:t xml:space="preserve">0.757</w:t>
            </w:r>
          </w:p>
        </w:tc>
        <w:tc>
          <w:tcPr>
            <w:tcW w:type="dxa" w:w="2926"/>
            <w:tcBorders>
              <w:top w:val="single" w:color="AAAAAA" w:sz="4"/>
              <w:left w:val="single" w:color="AAAAAA" w:sz="4"/>
              <w:bottom w:val="single" w:color="AAAAAA" w:sz="4"/>
              <w:right w:val="single" w:color="AAAAAA" w:sz="4"/>
            </w:tcBorders>
            <w:shd w:fill="EBF5FF" w:val="clear"/>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scale_pos_weight=3.99 で不均衡補正</w:t>
            </w:r>
          </w:p>
        </w:tc>
      </w:tr>
    </w:tbl>
    <w:p>
      <w:pPr>
        <w:spacing w:after="70" w:before="100"/>
        <w:jc w:val="left"/>
      </w:pPr>
      <w:r>
        <w:rPr>
          <w:rFonts w:ascii="MS Gothic" w:cs="MS Gothic" w:eastAsia="MS Gothic" w:hAnsi="MS Gothic"/>
          <w:b w:val="false"/>
          <w:bCs w:val="false"/>
          <w:color w:val="000000"/>
          <w:sz w:val="21"/>
          <w:szCs w:val="21"/>
        </w:rPr>
        <w:t xml:space="preserve">XGBoostはAUC 0.757を達成し、ロジスティック回帰（0.630）を大幅に上回った。</w:t>
      </w:r>
    </w:p>
    <w:p>
      <w:pPr>
        <w:spacing w:after="60" w:before="140"/>
      </w:pPr>
    </w:p>
    <w:p>
      <w:pPr>
        <w:spacing w:after="60" w:before="100"/>
        <w:jc w:val="center"/>
      </w:pPr>
      <w:r>
        <w:drawing>
          <wp:inline distT="0" distB="0" distL="0" distR="0">
            <wp:extent cx="5715000" cy="2676525"/>
            <wp:effectExtent t="0" r="0" b="0" l="0"/>
            <wp:docPr id="1" name="binary_confusion_matrix.png" descr="binary_confusion_matrix.png" title="binary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76525"/>
                    </a:xfrm>
                    <a:prstGeom prst="rect">
                      <a:avLst/>
                    </a:prstGeom>
                  </pic:spPr>
                </pic:pic>
              </a:graphicData>
            </a:graphic>
          </wp:inline>
        </w:drawing>
      </w:r>
    </w:p>
    <w:p>
      <w:pPr>
        <w:spacing w:after="160" w:before="40"/>
        <w:jc w:val="center"/>
      </w:pPr>
      <w:r>
        <w:rPr>
          <w:rFonts w:ascii="MS Gothic" w:cs="MS Gothic" w:eastAsia="MS Gothic" w:hAnsi="MS Gothic"/>
          <w:i/>
          <w:iCs/>
          <w:color w:val="555555"/>
          <w:sz w:val="17"/>
          <w:szCs w:val="17"/>
        </w:rPr>
        <w:t xml:space="preserve">図1. 混同行列（左: Logistic Regression, 右: XGBoost）— Test: 2022-2024</w:t>
      </w:r>
    </w:p>
    <w:p>
      <w:pPr>
        <w:pStyle w:val="Heading2"/>
        <w:spacing w:after="120" w:before="280"/>
      </w:pPr>
      <w:r>
        <w:rPr>
          <w:rFonts w:ascii="MS Gothic" w:cs="MS Gothic" w:eastAsia="MS Gothic" w:hAnsi="MS Gothic"/>
        </w:rPr>
        <w:t xml:space="preserve">3.3 SHAP 分析 — 遷移要因の解明（Binary）</w:t>
      </w:r>
    </w:p>
    <w:p>
      <w:pPr>
        <w:spacing w:after="70" w:before="80"/>
        <w:jc w:val="left"/>
      </w:pPr>
      <w:r>
        <w:rPr>
          <w:rFonts w:ascii="MS Gothic" w:cs="MS Gothic" w:eastAsia="MS Gothic" w:hAnsi="MS Gothic"/>
          <w:b w:val="false"/>
          <w:bCs w:val="false"/>
          <w:color w:val="000000"/>
          <w:sz w:val="21"/>
          <w:szCs w:val="21"/>
        </w:rPr>
        <w:t xml:space="preserve">XGBoost内蔵のTreeSHAP（pred_contribs=True）を使用し、各特徴量が遷移予測に与える寄与量を定量化した。</w:t>
      </w:r>
    </w:p>
    <w:p>
      <w:pPr>
        <w:spacing w:after="60" w:before="120"/>
      </w:pPr>
    </w:p>
    <w:p>
      <w:pPr>
        <w:spacing w:after="60" w:before="100"/>
        <w:jc w:val="center"/>
      </w:pPr>
      <w:r>
        <w:drawing>
          <wp:inline distT="0" distB="0" distL="0" distR="0">
            <wp:extent cx="3714750" cy="2628900"/>
            <wp:effectExtent t="0" r="0" b="0" l="0"/>
            <wp:docPr id="1" name="shap_binary_importance.png" descr="shap_binary_importance.png" title="shap_binary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14750" cy="2628900"/>
                    </a:xfrm>
                    <a:prstGeom prst="rect">
                      <a:avLst/>
                    </a:prstGeom>
                  </pic:spPr>
                </pic:pic>
              </a:graphicData>
            </a:graphic>
          </wp:inline>
        </w:drawing>
      </w:r>
    </w:p>
    <w:p>
      <w:pPr>
        <w:spacing w:after="160" w:before="40"/>
        <w:jc w:val="center"/>
      </w:pPr>
      <w:r>
        <w:rPr>
          <w:rFonts w:ascii="MS Gothic" w:cs="MS Gothic" w:eastAsia="MS Gothic" w:hAnsi="MS Gothic"/>
          <w:i/>
          <w:iCs/>
          <w:color w:val="555555"/>
          <w:sz w:val="17"/>
          <w:szCs w:val="17"/>
        </w:rPr>
        <w:t xml:space="preserve">図2. 特徴量重要度（Mean |SHAP value|）— Binary</w:t>
      </w:r>
    </w:p>
    <w:p>
      <w:pPr>
        <w:spacing w:after="60" w:before="140"/>
        <w:jc w:val="left"/>
      </w:pPr>
      <w:r>
        <w:rPr>
          <w:rFonts w:ascii="MS Gothic" w:cs="MS Gothic" w:eastAsia="MS Gothic" w:hAnsi="MS Gothic"/>
          <w:b/>
          <w:bCs/>
          <w:color w:val="000000"/>
          <w:sz w:val="21"/>
          <w:szCs w:val="21"/>
        </w:rPr>
        <w:t xml:space="preserve">主要な発見:</w:t>
      </w:r>
    </w:p>
    <w:p>
      <w:pPr>
        <w:spacing w:after="40" w:before="60"/>
        <w:jc w:val="left"/>
      </w:pPr>
      <w:r>
        <w:rPr>
          <w:rFonts w:ascii="MS Gothic" w:cs="MS Gothic" w:eastAsia="MS Gothic" w:hAnsi="MS Gothic"/>
          <w:b w:val="false"/>
          <w:bCs w:val="false"/>
          <w:color w:val="000000"/>
          <w:sz w:val="21"/>
          <w:szCs w:val="21"/>
        </w:rPr>
        <w:t xml:space="preserve">(1) 営業利益（Mean|SHAP|=0.311）: 収益性の変化がクラスター遷移を最も強く規定する。</w:t>
      </w:r>
    </w:p>
    <w:p>
      <w:pPr>
        <w:spacing w:after="40" w:before="40"/>
        <w:jc w:val="left"/>
      </w:pPr>
      <w:r>
        <w:rPr>
          <w:rFonts w:ascii="MS Gothic" w:cs="MS Gothic" w:eastAsia="MS Gothic" w:hAnsi="MS Gothic"/>
          <w:b w:val="false"/>
          <w:bCs w:val="false"/>
          <w:color w:val="000000"/>
          <w:sz w:val="21"/>
          <w:szCs w:val="21"/>
        </w:rPr>
        <w:t xml:space="preserve">(2) 長期借入金（0.297）: 財務レバレッジの変化も主要ドライバー。長期負債の増減が財務クラスターのシフトを促す。</w:t>
      </w:r>
    </w:p>
    <w:p>
      <w:pPr>
        <w:spacing w:after="100" w:before="40"/>
        <w:jc w:val="left"/>
      </w:pPr>
      <w:r>
        <w:rPr>
          <w:rFonts w:ascii="MS Gothic" w:cs="MS Gothic" w:eastAsia="MS Gothic" w:hAnsi="MS Gothic"/>
          <w:b w:val="false"/>
          <w:bCs w:val="false"/>
          <w:color w:val="000000"/>
          <w:sz w:val="21"/>
          <w:szCs w:val="21"/>
        </w:rPr>
        <w:t xml:space="preserve">(3) 現在クラスター（0.269）: どのクラスターにいるかによって遷移確率が異なる（パス依存性の反映）。</w:t>
      </w:r>
    </w:p>
    <w:p>
      <w:pPr>
        <w:spacing w:after="60" w:before="100"/>
      </w:pPr>
    </w:p>
    <w:p>
      <w:pPr>
        <w:spacing w:after="60" w:before="100"/>
        <w:jc w:val="center"/>
      </w:pPr>
      <w:r>
        <w:drawing>
          <wp:inline distT="0" distB="0" distL="0" distR="0">
            <wp:extent cx="5715000" cy="3305175"/>
            <wp:effectExtent t="0" r="0" b="0" l="0"/>
            <wp:docPr id="1" name="shap_binary_scatter.png" descr="shap_binary_scatter.png" title="shap_binary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05175"/>
                    </a:xfrm>
                    <a:prstGeom prst="rect">
                      <a:avLst/>
                    </a:prstGeom>
                  </pic:spPr>
                </pic:pic>
              </a:graphicData>
            </a:graphic>
          </wp:inline>
        </w:drawing>
      </w:r>
    </w:p>
    <w:p>
      <w:pPr>
        <w:spacing w:after="160" w:before="40"/>
        <w:jc w:val="center"/>
      </w:pPr>
      <w:r>
        <w:rPr>
          <w:rFonts w:ascii="MS Gothic" w:cs="MS Gothic" w:eastAsia="MS Gothic" w:hAnsi="MS Gothic"/>
          <w:i/>
          <w:iCs/>
          <w:color w:val="555555"/>
          <w:sz w:val="17"/>
          <w:szCs w:val="17"/>
        </w:rPr>
        <w:t xml:space="preserve">図3. SHAP Scatter — 上位6特徴量（横軸: 特徴量値, 縦軸: SHAP値, 正=遷移促進/負=遷移抑制）</w:t>
      </w:r>
    </w:p>
    <w:p>
      <w:pPr>
        <w:spacing w:after="70" w:before="100"/>
        <w:jc w:val="left"/>
      </w:pPr>
      <w:r>
        <w:rPr>
          <w:rFonts w:ascii="MS Gothic" w:cs="MS Gothic" w:eastAsia="MS Gothic" w:hAnsi="MS Gothic"/>
          <w:b w:val="false"/>
          <w:bCs w:val="false"/>
          <w:color w:val="000000"/>
          <w:sz w:val="21"/>
          <w:szCs w:val="21"/>
        </w:rPr>
        <w:t xml:space="preserve">Scatter plotから、営業利益が低い企業（損失傾向）は遷移促進方向の正のSHAP値を示す。長期借入金については高・低の両極で遷移が起きやすい非線形パターンが観察される。</w:t>
      </w:r>
    </w:p>
    <w:p>
      <w:r>
        <w:br w:type="page"/>
      </w:r>
    </w:p>
    <w:p>
      <w:pPr>
        <w:pStyle w:val="Heading2"/>
        <w:spacing w:after="120" w:before="280"/>
      </w:pPr>
      <w:r>
        <w:rPr>
          <w:rFonts w:ascii="MS Gothic" w:cs="MS Gothic" w:eastAsia="MS Gothic" w:hAnsi="MS Gothic"/>
        </w:rPr>
        <w:t xml:space="preserve">3.4 Step 2 — Multi-class 分類（遷移先クラスターの予測）</w:t>
      </w:r>
    </w:p>
    <w:p>
      <w:pPr>
        <w:spacing w:after="70" w:before="80"/>
        <w:jc w:val="left"/>
      </w:pPr>
      <w:r>
        <w:rPr>
          <w:rFonts w:ascii="MS Gothic" w:cs="MS Gothic" w:eastAsia="MS Gothic" w:hAnsi="MS Gothic"/>
          <w:b w:val="false"/>
          <w:bCs w:val="false"/>
          <w:color w:val="000000"/>
          <w:sz w:val="21"/>
          <w:szCs w:val="21"/>
        </w:rPr>
        <w:t xml:space="preserve">対象: 遷移した企業のみ（Test期間: n=2,081）。5クラスのXGBoost（multi:softprob）で遷移先Clusterを予測する。</w:t>
      </w:r>
    </w:p>
    <w:p>
      <w:pPr>
        <w:spacing w:after="60" w:before="120"/>
      </w:pPr>
    </w:p>
    <w:p>
      <w:pPr>
        <w:spacing w:after="60" w:before="160"/>
        <w:jc w:val="center"/>
      </w:pPr>
      <w:r>
        <w:rPr>
          <w:rFonts w:ascii="MS Gothic" w:cs="MS Gothic" w:eastAsia="MS Gothic" w:hAnsi="MS Gothic"/>
          <w:b/>
          <w:bCs/>
          <w:color w:val="000000"/>
          <w:sz w:val="21"/>
          <w:szCs w:val="21"/>
        </w:rPr>
        <w:t xml:space="preserve">表4. Multi-class 分類モデル性能（Test: 2022-2024, 遷移企業のみ）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900"/>
        <w:gridCol w:w="2826"/>
      </w:tblGrid>
      <w:tr>
        <w:trPr>
          <w:tblHeader/>
        </w:trPr>
        <w:tc>
          <w:tcPr>
            <w:tcW w:type="dxa" w:w="25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モデル</w:t>
            </w:r>
          </w:p>
        </w:tc>
        <w:tc>
          <w:tcPr>
            <w:tcW w:type="dxa" w:w="18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Accuracy</w:t>
            </w:r>
          </w:p>
        </w:tc>
        <w:tc>
          <w:tcPr>
            <w:tcW w:type="dxa" w:w="19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AUC-ROC (macro)</w:t>
            </w:r>
          </w:p>
        </w:tc>
        <w:tc>
          <w:tcPr>
            <w:tcW w:type="dxa" w:w="2826"/>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備考</w:t>
            </w:r>
          </w:p>
        </w:tc>
      </w:tr>
      <w:tr>
        <w:tc>
          <w:tcPr>
            <w:tcW w:type="dxa" w:w="2500"/>
            <w:tcBorders>
              <w:top w:val="single" w:color="AAAAAA" w:sz="4"/>
              <w:left w:val="single" w:color="AAAAAA" w:sz="4"/>
              <w:bottom w:val="single" w:color="AAAAAA" w:sz="4"/>
              <w:right w:val="single" w:color="AAAAAA" w:sz="4"/>
            </w:tcBorders>
            <w:shd w:fill="EBF5FF" w:val="clear"/>
            <w:tcMar>
              <w:top w:type="dxa" w:w="80"/>
              <w:left w:type="dxa" w:w="120"/>
              <w:bottom w:type="dxa" w:w="80"/>
              <w:right w:type="dxa" w:w="120"/>
            </w:tcMar>
            <w:vAlign w:val="top"/>
          </w:tcPr>
          <w:p>
            <w:pPr>
              <w:jc w:val="left"/>
            </w:pPr>
            <w:r>
              <w:rPr>
                <w:rFonts w:ascii="MS Gothic" w:cs="MS Gothic" w:eastAsia="MS Gothic" w:hAnsi="MS Gothic"/>
                <w:b/>
                <w:bCs/>
                <w:color w:val="000000"/>
                <w:sz w:val="18"/>
                <w:szCs w:val="18"/>
              </w:rPr>
              <w:t xml:space="preserve">XGBoost (multi:softprob)</w:t>
            </w:r>
          </w:p>
        </w:tc>
        <w:tc>
          <w:tcPr>
            <w:tcW w:type="dxa" w:w="1800"/>
            <w:tcBorders>
              <w:top w:val="single" w:color="AAAAAA" w:sz="4"/>
              <w:left w:val="single" w:color="AAAAAA" w:sz="4"/>
              <w:bottom w:val="single" w:color="AAAAAA" w:sz="4"/>
              <w:right w:val="single" w:color="AAAAAA" w:sz="4"/>
            </w:tcBorders>
            <w:shd w:fill="EBF5FF" w:val="clear"/>
            <w:tcMar>
              <w:top w:type="dxa" w:w="80"/>
              <w:left w:type="dxa" w:w="120"/>
              <w:bottom w:type="dxa" w:w="80"/>
              <w:right w:type="dxa" w:w="120"/>
            </w:tcMar>
            <w:vAlign w:val="top"/>
          </w:tcPr>
          <w:p>
            <w:pPr>
              <w:jc w:val="center"/>
            </w:pPr>
            <w:r>
              <w:rPr>
                <w:rFonts w:ascii="MS Gothic" w:cs="MS Gothic" w:eastAsia="MS Gothic" w:hAnsi="MS Gothic"/>
                <w:b w:val="false"/>
                <w:bCs w:val="false"/>
                <w:color w:val="000000"/>
                <w:sz w:val="18"/>
                <w:szCs w:val="18"/>
              </w:rPr>
              <w:t xml:space="preserve">73%</w:t>
            </w:r>
          </w:p>
        </w:tc>
        <w:tc>
          <w:tcPr>
            <w:tcW w:type="dxa" w:w="1900"/>
            <w:tcBorders>
              <w:top w:val="single" w:color="AAAAAA" w:sz="4"/>
              <w:left w:val="single" w:color="AAAAAA" w:sz="4"/>
              <w:bottom w:val="single" w:color="AAAAAA" w:sz="4"/>
              <w:right w:val="single" w:color="AAAAAA" w:sz="4"/>
            </w:tcBorders>
            <w:shd w:fill="EBF5FF" w:val="clear"/>
            <w:tcMar>
              <w:top w:type="dxa" w:w="80"/>
              <w:left w:type="dxa" w:w="120"/>
              <w:bottom w:type="dxa" w:w="80"/>
              <w:right w:type="dxa" w:w="120"/>
            </w:tcMar>
            <w:vAlign w:val="top"/>
          </w:tcPr>
          <w:p>
            <w:pPr>
              <w:jc w:val="center"/>
            </w:pPr>
            <w:r>
              <w:rPr>
                <w:rFonts w:ascii="MS Gothic" w:cs="MS Gothic" w:eastAsia="MS Gothic" w:hAnsi="MS Gothic"/>
                <w:b/>
                <w:bCs/>
                <w:color w:val="000000"/>
                <w:sz w:val="18"/>
                <w:szCs w:val="18"/>
              </w:rPr>
              <w:t xml:space="preserve">0.947</w:t>
            </w:r>
          </w:p>
        </w:tc>
        <w:tc>
          <w:tcPr>
            <w:tcW w:type="dxa" w:w="2826"/>
            <w:tcBorders>
              <w:top w:val="single" w:color="AAAAAA" w:sz="4"/>
              <w:left w:val="single" w:color="AAAAAA" w:sz="4"/>
              <w:bottom w:val="single" w:color="AAAAAA" w:sz="4"/>
              <w:right w:val="single" w:color="AAAAAA" w:sz="4"/>
            </w:tcBorders>
            <w:shd w:fill="EBF5FF" w:val="clear"/>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遷移企業のみ（n=2,081）</w:t>
            </w:r>
          </w:p>
        </w:tc>
      </w:tr>
    </w:tbl>
    <w:p>
      <w:pPr>
        <w:spacing w:after="70" w:before="100"/>
        <w:jc w:val="left"/>
      </w:pPr>
      <w:r>
        <w:rPr>
          <w:rFonts w:ascii="MS Gothic" w:cs="MS Gothic" w:eastAsia="MS Gothic" w:hAnsi="MS Gothic"/>
          <w:b w:val="false"/>
          <w:bCs w:val="false"/>
          <w:color w:val="000000"/>
          <w:sz w:val="21"/>
          <w:szCs w:val="21"/>
        </w:rPr>
        <w:t xml:space="preserve">Accuracy 73%、AUC-ROC (macro) 0.947という高い予測精度を達成。財務変数のみから遷移先クラスターを高精度に識別できることが示された。</w:t>
      </w:r>
    </w:p>
    <w:p>
      <w:pPr>
        <w:spacing w:after="60" w:before="140"/>
      </w:pPr>
    </w:p>
    <w:p>
      <w:pPr>
        <w:spacing w:after="60" w:before="100"/>
        <w:jc w:val="center"/>
      </w:pPr>
      <w:r>
        <w:drawing>
          <wp:inline distT="0" distB="0" distL="0" distR="0">
            <wp:extent cx="4000500" cy="2914650"/>
            <wp:effectExtent t="0" r="0" b="0" l="0"/>
            <wp:docPr id="1" name="multiclass_confusion_matrix.png" descr="multiclass_confusion_matrix.png" title="multiclass_confusion_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14650"/>
                    </a:xfrm>
                    <a:prstGeom prst="rect">
                      <a:avLst/>
                    </a:prstGeom>
                  </pic:spPr>
                </pic:pic>
              </a:graphicData>
            </a:graphic>
          </wp:inline>
        </w:drawing>
      </w:r>
    </w:p>
    <w:p>
      <w:pPr>
        <w:spacing w:after="160" w:before="40"/>
        <w:jc w:val="center"/>
      </w:pPr>
      <w:r>
        <w:rPr>
          <w:rFonts w:ascii="MS Gothic" w:cs="MS Gothic" w:eastAsia="MS Gothic" w:hAnsi="MS Gothic"/>
          <w:i/>
          <w:iCs/>
          <w:color w:val="555555"/>
          <w:sz w:val="17"/>
          <w:szCs w:val="17"/>
        </w:rPr>
        <w:t xml:space="preserve">図4. 混同行列 — 遷移先クラスター予測（Multi-class XGBoost）</w:t>
      </w:r>
    </w:p>
    <w:p>
      <w:pPr>
        <w:pStyle w:val="Heading2"/>
        <w:spacing w:after="120" w:before="280"/>
      </w:pPr>
      <w:r>
        <w:rPr>
          <w:rFonts w:ascii="MS Gothic" w:cs="MS Gothic" w:eastAsia="MS Gothic" w:hAnsi="MS Gothic"/>
        </w:rPr>
        <w:t xml:space="preserve">3.5 SHAP 分析 — 遷移先決定要因（Multi-class）</w:t>
      </w:r>
    </w:p>
    <w:p>
      <w:pPr>
        <w:spacing w:after="70" w:before="80"/>
        <w:jc w:val="left"/>
      </w:pPr>
      <w:r>
        <w:rPr>
          <w:rFonts w:ascii="MS Gothic" w:cs="MS Gothic" w:eastAsia="MS Gothic" w:hAnsi="MS Gothic"/>
          <w:b w:val="false"/>
          <w:bCs w:val="false"/>
          <w:color w:val="000000"/>
          <w:sz w:val="21"/>
          <w:szCs w:val="21"/>
        </w:rPr>
        <w:t xml:space="preserve">各遷移先クラスターへの予測に対してMean |SHAP|を算出し、どの財務変数がどの遷移先を規定するかをクラス別に可視化した。</w:t>
      </w:r>
    </w:p>
    <w:p>
      <w:pPr>
        <w:spacing w:after="60" w:before="120"/>
      </w:pPr>
    </w:p>
    <w:p>
      <w:pPr>
        <w:spacing w:after="60" w:before="100"/>
        <w:jc w:val="center"/>
      </w:pPr>
      <w:r>
        <w:drawing>
          <wp:inline distT="0" distB="0" distL="0" distR="0">
            <wp:extent cx="5715000" cy="1905000"/>
            <wp:effectExtent t="0" r="0" b="0" l="0"/>
            <wp:docPr id="1" name="shap_multiclass_heatmap.png" descr="shap_multiclass_heatmap.png" title="shap_multiclass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905000"/>
                    </a:xfrm>
                    <a:prstGeom prst="rect">
                      <a:avLst/>
                    </a:prstGeom>
                  </pic:spPr>
                </pic:pic>
              </a:graphicData>
            </a:graphic>
          </wp:inline>
        </w:drawing>
      </w:r>
    </w:p>
    <w:p>
      <w:pPr>
        <w:spacing w:after="160" w:before="40"/>
        <w:jc w:val="center"/>
      </w:pPr>
      <w:r>
        <w:rPr>
          <w:rFonts w:ascii="MS Gothic" w:cs="MS Gothic" w:eastAsia="MS Gothic" w:hAnsi="MS Gothic"/>
          <w:i/>
          <w:iCs/>
          <w:color w:val="555555"/>
          <w:sz w:val="17"/>
          <w:szCs w:val="17"/>
        </w:rPr>
        <w:t xml:space="preserve">図5. SHAP Heatmap — 遷移先クラスター × 特徴量（Mean |SHAP|）</w:t>
      </w:r>
    </w:p>
    <w:p>
      <w:pPr>
        <w:spacing w:after="60" w:before="140"/>
      </w:pPr>
    </w:p>
    <w:p>
      <w:pPr>
        <w:spacing w:after="60" w:before="160"/>
        <w:jc w:val="center"/>
      </w:pPr>
      <w:r>
        <w:rPr>
          <w:rFonts w:ascii="MS Gothic" w:cs="MS Gothic" w:eastAsia="MS Gothic" w:hAnsi="MS Gothic"/>
          <w:b/>
          <w:bCs/>
          <w:color w:val="000000"/>
          <w:sz w:val="21"/>
          <w:szCs w:val="21"/>
        </w:rPr>
        <w:t xml:space="preserve">表5. 遷移先クラスター別 最重要SHAP変数と解釈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4626"/>
      </w:tblGrid>
      <w:tr>
        <w:trPr>
          <w:tblHeader/>
        </w:trPr>
        <w:tc>
          <w:tcPr>
            <w:tcW w:type="dxa" w:w="25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遷移先クラスター</w:t>
            </w:r>
          </w:p>
        </w:tc>
        <w:tc>
          <w:tcPr>
            <w:tcW w:type="dxa" w:w="19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最重要変数</w:t>
            </w:r>
          </w:p>
        </w:tc>
        <w:tc>
          <w:tcPr>
            <w:tcW w:type="dxa" w:w="4626"/>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解釈</w:t>
            </w:r>
          </w:p>
        </w:tc>
      </w:tr>
      <w:tr>
        <w:tc>
          <w:tcPr>
            <w:tcW w:type="dxa" w:w="2500"/>
            <w:tcBorders>
              <w:top w:val="single" w:color="AAAAAA" w:sz="4"/>
              <w:left w:val="single" w:color="AAAAAA" w:sz="4"/>
              <w:bottom w:val="single" w:color="AAAAAA" w:sz="4"/>
              <w:right w:val="single" w:color="AAAAAA" w:sz="4"/>
            </w:tcBorders>
            <w:shd w:fill="EEF2FF" w:val="clear"/>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C0 中小規模標準型</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bCs/>
                <w:color w:val="000000"/>
                <w:sz w:val="18"/>
                <w:szCs w:val="18"/>
              </w:rPr>
              <w:t xml:space="preserve">現在クラスター</w:t>
            </w:r>
          </w:p>
        </w:tc>
        <w:tc>
          <w:tcPr>
            <w:tcW w:type="dxa" w:w="46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パス依存性が強く、近傍クラスターからの引力効果が支配的。</w:t>
            </w:r>
          </w:p>
        </w:tc>
      </w:tr>
      <w:tr>
        <w:tc>
          <w:tcPr>
            <w:tcW w:type="dxa" w:w="2500"/>
            <w:tcBorders>
              <w:top w:val="single" w:color="AAAAAA" w:sz="4"/>
              <w:left w:val="single" w:color="AAAAAA" w:sz="4"/>
              <w:bottom w:val="single" w:color="AAAAAA" w:sz="4"/>
              <w:right w:val="single" w:color="AAAAAA" w:sz="4"/>
            </w:tcBorders>
            <w:shd w:fill="EEF2FF" w:val="clear"/>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C1 小規模財務脆弱型</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bCs/>
                <w:color w:val="000000"/>
                <w:sz w:val="18"/>
                <w:szCs w:val="18"/>
              </w:rPr>
              <w:t xml:space="preserve">営業利益</w:t>
            </w:r>
          </w:p>
        </w:tc>
        <w:tc>
          <w:tcPr>
            <w:tcW w:type="dxa" w:w="46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収益性の悪化（損失転落傾向）が財務脆弱クラスターへの遷移を促進する。</w:t>
            </w:r>
          </w:p>
        </w:tc>
      </w:tr>
      <w:tr>
        <w:tc>
          <w:tcPr>
            <w:tcW w:type="dxa" w:w="2500"/>
            <w:tcBorders>
              <w:top w:val="single" w:color="AAAAAA" w:sz="4"/>
              <w:left w:val="single" w:color="AAAAAA" w:sz="4"/>
              <w:bottom w:val="single" w:color="AAAAAA" w:sz="4"/>
              <w:right w:val="single" w:color="AAAAAA" w:sz="4"/>
            </w:tcBorders>
            <w:shd w:fill="EEF2FF" w:val="clear"/>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C2 中規模財務優良型</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bCs/>
                <w:color w:val="000000"/>
                <w:sz w:val="18"/>
                <w:szCs w:val="18"/>
              </w:rPr>
              <w:t xml:space="preserve">現在クラスター</w:t>
            </w:r>
          </w:p>
        </w:tc>
        <w:tc>
          <w:tcPr>
            <w:tcW w:type="dxa" w:w="46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財務健全化方向への遷移は近隣クラスターとのパス依存性と関連。</w:t>
            </w:r>
          </w:p>
        </w:tc>
      </w:tr>
      <w:tr>
        <w:tc>
          <w:tcPr>
            <w:tcW w:type="dxa" w:w="2500"/>
            <w:tcBorders>
              <w:top w:val="single" w:color="AAAAAA" w:sz="4"/>
              <w:left w:val="single" w:color="AAAAAA" w:sz="4"/>
              <w:bottom w:val="single" w:color="AAAAAA" w:sz="4"/>
              <w:right w:val="single" w:color="AAAAAA" w:sz="4"/>
            </w:tcBorders>
            <w:shd w:fill="EEF2FF" w:val="clear"/>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C3 大企業型</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bCs/>
                <w:color w:val="000000"/>
                <w:sz w:val="18"/>
                <w:szCs w:val="18"/>
              </w:rPr>
              <w:t xml:space="preserve">総資産</w:t>
            </w:r>
          </w:p>
        </w:tc>
        <w:tc>
          <w:tcPr>
            <w:tcW w:type="dxa" w:w="46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規模拡大（M&amp;A・設備投資）が大企業クラスターへの遷移を規定する。</w:t>
            </w:r>
          </w:p>
        </w:tc>
      </w:tr>
      <w:tr>
        <w:tc>
          <w:tcPr>
            <w:tcW w:type="dxa" w:w="2500"/>
            <w:tcBorders>
              <w:top w:val="single" w:color="AAAAAA" w:sz="4"/>
              <w:left w:val="single" w:color="AAAAAA" w:sz="4"/>
              <w:bottom w:val="single" w:color="AAAAAA" w:sz="4"/>
              <w:right w:val="single" w:color="AAAAAA" w:sz="4"/>
            </w:tcBorders>
            <w:shd w:fill="EEF2FF" w:val="clear"/>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C4 小規模財務健全型</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bCs/>
                <w:color w:val="000000"/>
                <w:sz w:val="18"/>
                <w:szCs w:val="18"/>
              </w:rPr>
              <w:t xml:space="preserve">現在クラスター</w:t>
            </w:r>
          </w:p>
        </w:tc>
        <w:tc>
          <w:tcPr>
            <w:tcW w:type="dxa" w:w="46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color w:val="000000"/>
                <w:sz w:val="18"/>
                <w:szCs w:val="18"/>
              </w:rPr>
              <w:t xml:space="preserve">健全性クラスターへの遷移もパス依存性が強く近隣からの移動が多い。</w:t>
            </w:r>
          </w:p>
        </w:tc>
      </w:tr>
    </w:tbl>
    <w:p>
      <w:pPr>
        <w:pStyle w:val="Heading2"/>
        <w:spacing w:after="120" w:before="280"/>
      </w:pPr>
      <w:r>
        <w:rPr>
          <w:rFonts w:ascii="MS Gothic" w:cs="MS Gothic" w:eastAsia="MS Gothic" w:hAnsi="MS Gothic"/>
        </w:rPr>
        <w:t xml:space="preserve">3.6 総合的示唆</w:t>
      </w:r>
    </w:p>
    <w:p>
      <w:pPr>
        <w:spacing w:after="50" w:before="80"/>
        <w:jc w:val="left"/>
      </w:pPr>
      <w:r>
        <w:rPr>
          <w:rFonts w:ascii="MS Gothic" w:cs="MS Gothic" w:eastAsia="MS Gothic" w:hAnsi="MS Gothic"/>
          <w:b w:val="false"/>
          <w:bCs w:val="false"/>
          <w:color w:val="000000"/>
          <w:sz w:val="21"/>
          <w:szCs w:val="21"/>
        </w:rPr>
        <w:t xml:space="preserve">(1) 遷移可能性はAUC=0.757で予測可能。営業利益と長期借入金が主要なトリガーであり、収益性・財務レバレッジの変化が遷移を引き起こす。</w:t>
      </w:r>
    </w:p>
    <w:p>
      <w:pPr>
        <w:spacing w:after="50" w:before="50"/>
        <w:jc w:val="left"/>
      </w:pPr>
      <w:r>
        <w:rPr>
          <w:rFonts w:ascii="MS Gothic" w:cs="MS Gothic" w:eastAsia="MS Gothic" w:hAnsi="MS Gothic"/>
          <w:b w:val="false"/>
          <w:bCs w:val="false"/>
          <w:color w:val="000000"/>
          <w:sz w:val="21"/>
          <w:szCs w:val="21"/>
        </w:rPr>
        <w:t xml:space="preserve">(2) 遷移先はAUC=0.947で高精度に予測可能。財務構造の変化が遷移先を強く規定している。</w:t>
      </w:r>
    </w:p>
    <w:p>
      <w:pPr>
        <w:spacing w:after="50" w:before="50"/>
        <w:jc w:val="left"/>
      </w:pPr>
      <w:r>
        <w:rPr>
          <w:rFonts w:ascii="MS Gothic" w:cs="MS Gothic" w:eastAsia="MS Gothic" w:hAnsi="MS Gothic"/>
          <w:b w:val="false"/>
          <w:bCs w:val="false"/>
          <w:color w:val="000000"/>
          <w:sz w:val="21"/>
          <w:szCs w:val="21"/>
        </w:rPr>
        <w:t xml:space="preserve">(3) 「現在クラスター」変数のSHAP重要度が高い点は、05_main_analysis.ipynbで示されたパス依存性（MNLogit Pseudo R²=63.7%）と整合する。</w:t>
      </w:r>
    </w:p>
    <w:p>
      <w:pPr>
        <w:spacing w:after="100" w:before="50"/>
        <w:jc w:val="left"/>
      </w:pPr>
      <w:r>
        <w:rPr>
          <w:rFonts w:ascii="MS Gothic" w:cs="MS Gothic" w:eastAsia="MS Gothic" w:hAnsi="MS Gothic"/>
          <w:b w:val="false"/>
          <w:bCs w:val="false"/>
          <w:color w:val="000000"/>
          <w:sz w:val="21"/>
          <w:szCs w:val="21"/>
        </w:rPr>
        <w:t xml:space="preserve">(4) C1（財務脆弱型）への遷移は営業利益悪化、C3（大企業型）への遷移は総資産拡大が主因であり、各クラスターへの遷移が固有の財務ロジックを持つことを示している。</w:t>
      </w:r>
    </w:p>
    <w:p>
      <w:pPr>
        <w:spacing w:after="200" w:before="200"/>
      </w:pPr>
    </w:p>
    <w:p>
      <w:pPr>
        <w:pBdr>
          <w:bottom w:val="single" w:color="2E4057" w:sz="6" w:space="1"/>
        </w:pBdr>
        <w:spacing w:after="60" w:before="60"/>
      </w:pPr>
    </w:p>
    <w:p>
      <w:pPr>
        <w:spacing w:after="100" w:before="200"/>
        <w:jc w:val="center"/>
      </w:pPr>
      <w:r>
        <w:rPr>
          <w:rFonts w:ascii="MS Gothic" w:cs="MS Gothic" w:eastAsia="MS Gothic" w:hAnsi="MS Gothic"/>
          <w:color w:val="555555"/>
          <w:sz w:val="22"/>
          <w:szCs w:val="22"/>
        </w:rPr>
        <w:t xml:space="preserve">以上</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S Gothic" w:cs="MS Gothic" w:eastAsia="MS Gothic" w:hAnsi="MS Gothic"/>
        <w:color w:val="888888"/>
        <w:sz w:val="16"/>
        <w:szCs w:val="16"/>
      </w:rPr>
      <w:t xml:space="preserve">進捗報告書  |  修士論文  |  </w:t>
    </w:r>
    <w:r>
      <w:rPr>
        <w:rFonts w:ascii="MS Gothic" w:cs="MS Gothic" w:eastAsia="MS Gothic" w:hAnsi="MS Gothic"/>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Gothic" w:cs="MS Gothic" w:eastAsia="MS Gothic" w:hAnsi="MS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MS Gothic" w:cs="MS Gothic" w:eastAsia="MS Gothic" w:hAnsi="MS Gothic"/>
      <w:b/>
      <w:bCs/>
      <w:color w:val="2E4057"/>
      <w:sz w:val="36"/>
      <w:szCs w:val="36"/>
    </w:rPr>
  </w:style>
  <w:style w:type="paragraph" w:styleId="Heading2">
    <w:name w:val="Heading 2"/>
    <w:basedOn w:val="Normal"/>
    <w:next w:val="Normal"/>
    <w:qFormat/>
    <w:pPr>
      <w:spacing w:after="140" w:before="280"/>
      <w:outlineLvl w:val="1"/>
    </w:pPr>
    <w:rPr>
      <w:rFonts w:ascii="MS Gothic" w:cs="MS Gothic" w:eastAsia="MS Gothic" w:hAnsi="MS Gothic"/>
      <w:b/>
      <w:bCs/>
      <w:color w:val="2E4057"/>
      <w:sz w:val="28"/>
      <w:szCs w:val="28"/>
    </w:rPr>
  </w:style>
  <w:style w:type="paragraph" w:styleId="Heading3">
    <w:name w:val="Heading 3"/>
    <w:basedOn w:val="Normal"/>
    <w:next w:val="Normal"/>
    <w:qFormat/>
    <w:pPr>
      <w:spacing w:after="100" w:before="200"/>
      <w:outlineLvl w:val="2"/>
    </w:pPr>
    <w:rPr>
      <w:rFonts w:ascii="MS Gothic" w:cs="MS Gothic" w:eastAsia="MS Gothic" w:hAnsi="MS Gothic"/>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adc07e3ba396c3f978643e10dd6783cd7a5b74f.png"/><Relationship Id="rId9" Type="http://schemas.openxmlformats.org/officeDocument/2006/relationships/image" Target="media/c888faa31ad48b14bfa91ecc8dbeaea1f5de5bce.png"/><Relationship Id="rId10" Type="http://schemas.openxmlformats.org/officeDocument/2006/relationships/image" Target="media/9b8db85d92937c1cbcd45b01f06a61be182a2f82.png"/><Relationship Id="rId11" Type="http://schemas.openxmlformats.org/officeDocument/2006/relationships/image" Target="media/7c236e2a81f5abde032b83d9b670d739a04b9daf.png"/><Relationship Id="rId12" Type="http://schemas.openxmlformats.org/officeDocument/2006/relationships/image" Target="media/492efe71ffb405b99550ea0e325c9acc165eac4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2026-03-26T11:12:57.510Z</dcterms:created>
  <dcterms:modified xsi:type="dcterms:W3CDTF">2026-03-26T11:12:57.511Z</dcterms:modified>
</cp:coreProperties>
</file>

<file path=docProps/custom.xml><?xml version="1.0" encoding="utf-8"?>
<Properties xmlns="http://schemas.openxmlformats.org/officeDocument/2006/custom-properties" xmlns:vt="http://schemas.openxmlformats.org/officeDocument/2006/docPropsVTypes"/>
</file>