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sz w:val="28"/>
          <w:szCs w:val="28"/>
        </w:rPr>
        <w:t xml:space="preserve">THE IMPACT OF DIGITAL BANKING ON FINANCIAL INCLUSION</w:t>
      </w:r>
    </w:p>
    <w:p>
      <w:pPr>
        <w:spacing w:after="200" w:before="0"/>
        <w:jc w:val="center"/>
      </w:pPr>
      <w:r>
        <w:rPr>
          <w:rFonts w:ascii="Times New Roman" w:cs="Times New Roman" w:eastAsia="Times New Roman" w:hAnsi="Times New Roman"/>
          <w:b/>
          <w:bCs/>
          <w:sz w:val="28"/>
          <w:szCs w:val="28"/>
        </w:rPr>
        <w:t xml:space="preserve">AMONG SMALL AND MEDIUM ENTERPRISES (SMEs) IN TANZANIA</w:t>
      </w:r>
    </w:p>
    <w:p>
      <w:pPr>
        <w:pBdr>
          <w:bottom w:val="single" w:color="000000" w:sz="6"/>
        </w:pBdr>
        <w:spacing w:after="300" w:before="0"/>
        <w:jc w:val="center"/>
      </w:pPr>
      <w:r>
        <w:rPr>
          <w:rFonts w:ascii="Times New Roman" w:cs="Times New Roman" w:eastAsia="Times New Roman" w:hAnsi="Times New Roman"/>
          <w:b/>
          <w:bCs/>
          <w:sz w:val="28"/>
          <w:szCs w:val="28"/>
        </w:rPr>
        <w:t xml:space="preserve">CHAPTER THREE: RESEARCH METHODOLOGY</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3.1 Introduction</w:t>
      </w:r>
    </w:p>
    <w:p>
      <w:pPr>
        <w:spacing w:after="100" w:before="100" w:line="360"/>
        <w:ind w:firstLine="720"/>
        <w:jc w:val="both"/>
      </w:pPr>
      <w:r>
        <w:rPr>
          <w:rFonts w:ascii="Times New Roman" w:cs="Times New Roman" w:eastAsia="Times New Roman" w:hAnsi="Times New Roman"/>
          <w:sz w:val="24"/>
          <w:szCs w:val="24"/>
        </w:rPr>
        <w:t xml:space="preserve">This chapter presents the methodological framework that will guide the study on the impact of digital banking on financial inclusion among SMEs in Tanzania. It outlines the research philosophy, research approach, research design, study area, target population, sample size and sampling technique, data collection methods and instruments, validity and reliability measures, data analysis methods, and ethical considerations. Every methodological choice has been selected based on its suitability for achieving the objectives of this study and is justified accordingly.</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3.2 Research Philosophy</w:t>
      </w:r>
    </w:p>
    <w:p>
      <w:pPr>
        <w:spacing w:after="100" w:before="100" w:line="360"/>
        <w:ind w:firstLine="720"/>
        <w:jc w:val="both"/>
      </w:pPr>
      <w:r>
        <w:rPr>
          <w:rFonts w:ascii="Times New Roman" w:cs="Times New Roman" w:eastAsia="Times New Roman" w:hAnsi="Times New Roman"/>
          <w:sz w:val="24"/>
          <w:szCs w:val="24"/>
        </w:rPr>
        <w:t xml:space="preserve">This study is guided by the positivist research philosophy. Positivism holds that knowledge is derived from observable, measurable, and verifiable phenomena (Saunders et al., 2019). Under this paradigm, social reality is objective and can be studied using systematic and structured methods, independent of the researcher's personal values or interpretations.</w:t>
      </w:r>
    </w:p>
    <w:p>
      <w:pPr>
        <w:spacing w:after="100" w:before="100" w:line="360"/>
        <w:ind w:firstLine="720"/>
        <w:jc w:val="both"/>
      </w:pPr>
      <w:r>
        <w:rPr>
          <w:rFonts w:ascii="Times New Roman" w:cs="Times New Roman" w:eastAsia="Times New Roman" w:hAnsi="Times New Roman"/>
          <w:sz w:val="24"/>
          <w:szCs w:val="24"/>
        </w:rPr>
        <w:t xml:space="preserve">This philosophy is appropriate for the present study because the research seeks to measure and quantify the extent to which digital banking services — specifically mobile banking, internet banking, and agency banking — influence financial inclusion among SMEs. The study aims to collect numerical data from a defined population, test relationships between variables, and draw generalizable conclusions. Positivism supports the use of structured questionnaires and statistical analysis, which aligns with the quantitative nature of this inquiry.</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3.3 Research Approach</w:t>
      </w:r>
    </w:p>
    <w:p>
      <w:pPr>
        <w:spacing w:after="100" w:before="100" w:line="360"/>
        <w:ind w:firstLine="720"/>
        <w:jc w:val="both"/>
      </w:pPr>
      <w:r>
        <w:rPr>
          <w:rFonts w:ascii="Times New Roman" w:cs="Times New Roman" w:eastAsia="Times New Roman" w:hAnsi="Times New Roman"/>
          <w:sz w:val="24"/>
          <w:szCs w:val="24"/>
        </w:rPr>
        <w:t xml:space="preserve">The study will employ a quantitative research approach. A quantitative approach involves the collection of numerical data and the application of statistical techniques to analyze relationships, patterns, and trends among variables (Creswell, 2014). This approach is suitable because the study seeks to establish the degree of influence that digital banking has on the financial inclusion of SMEs, which requires the measurement of variables using structured instruments.</w:t>
      </w:r>
    </w:p>
    <w:p>
      <w:pPr>
        <w:spacing w:after="100" w:before="100" w:line="360"/>
        <w:ind w:firstLine="720"/>
        <w:jc w:val="both"/>
      </w:pPr>
      <w:r>
        <w:rPr>
          <w:rFonts w:ascii="Times New Roman" w:cs="Times New Roman" w:eastAsia="Times New Roman" w:hAnsi="Times New Roman"/>
          <w:sz w:val="24"/>
          <w:szCs w:val="24"/>
        </w:rPr>
        <w:t xml:space="preserve">The quantitative approach enables the researcher to test hypotheses objectively, generalize findings to a wider population, and produce results that are replicable. It is particularly appropriate for a study targeting a large and identifiable population of SMEs within a defined geographical area.</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3.4 Research Design</w:t>
      </w:r>
    </w:p>
    <w:p>
      <w:pPr>
        <w:spacing w:after="100" w:before="100" w:line="360"/>
        <w:ind w:firstLine="720"/>
        <w:jc w:val="both"/>
      </w:pPr>
      <w:r>
        <w:rPr>
          <w:rFonts w:ascii="Times New Roman" w:cs="Times New Roman" w:eastAsia="Times New Roman" w:hAnsi="Times New Roman"/>
          <w:sz w:val="24"/>
          <w:szCs w:val="24"/>
        </w:rPr>
        <w:t xml:space="preserve">The study will adopt a descriptive survey research design. According to Kothari (2004), a descriptive design is used to describe the characteristics of a phenomenon and identify relationships between variables without manipulating them. A survey design allows for the collection of standardized data from a large number of respondents using structured questionnaires, which is compatible with the quantitative approach of this study.</w:t>
      </w:r>
    </w:p>
    <w:p>
      <w:pPr>
        <w:spacing w:after="100" w:before="100" w:line="360"/>
        <w:ind w:firstLine="720"/>
        <w:jc w:val="both"/>
      </w:pPr>
      <w:r>
        <w:rPr>
          <w:rFonts w:ascii="Times New Roman" w:cs="Times New Roman" w:eastAsia="Times New Roman" w:hAnsi="Times New Roman"/>
          <w:sz w:val="24"/>
          <w:szCs w:val="24"/>
        </w:rPr>
        <w:t xml:space="preserve">The descriptive survey design is justified because this study does not seek to experiment with or alter the conditions of digital banking or financial inclusion. Instead, it aims to describe the current state of digital banking adoption and its perceived effect on SME financial inclusion in Dar es Salaam, providing a factual and accurate account of the situation.</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3.5 Study Area</w:t>
      </w:r>
    </w:p>
    <w:p>
      <w:pPr>
        <w:spacing w:after="100" w:before="100" w:line="360"/>
        <w:ind w:firstLine="720"/>
        <w:jc w:val="both"/>
      </w:pPr>
      <w:r>
        <w:rPr>
          <w:rFonts w:ascii="Times New Roman" w:cs="Times New Roman" w:eastAsia="Times New Roman" w:hAnsi="Times New Roman"/>
          <w:sz w:val="24"/>
          <w:szCs w:val="24"/>
        </w:rPr>
        <w:t xml:space="preserve">The study will be conducted in Dar es Salaam, Tanzania. Dar es Salaam is the largest commercial city in Tanzania and serves as the country's primary economic hub. It hosts the highest concentration of registered SMEs, formal banking institutions, mobile money agents, and fintech service providers in the country (Bank of Tanzania, 2023).</w:t>
      </w:r>
    </w:p>
    <w:p>
      <w:pPr>
        <w:spacing w:after="100" w:before="100" w:line="360"/>
        <w:ind w:firstLine="720"/>
        <w:jc w:val="both"/>
      </w:pPr>
      <w:r>
        <w:rPr>
          <w:rFonts w:ascii="Times New Roman" w:cs="Times New Roman" w:eastAsia="Times New Roman" w:hAnsi="Times New Roman"/>
          <w:sz w:val="24"/>
          <w:szCs w:val="24"/>
        </w:rPr>
        <w:t xml:space="preserve">The city is an appropriate study area because it represents the most advanced environment for digital banking adoption in Tanzania, making it possible to gather relevant and representative data. Furthermore, Dar es Salaam's urban and peri-urban mix allows for varied respondent profiles across different levels of digital banking exposure, which enriches the study's findings.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3.6 Target Population</w:t>
      </w:r>
    </w:p>
    <w:p>
      <w:pPr>
        <w:spacing w:after="100" w:before="100" w:line="360"/>
        <w:ind w:firstLine="720"/>
        <w:jc w:val="both"/>
      </w:pPr>
      <w:r>
        <w:rPr>
          <w:rFonts w:ascii="Times New Roman" w:cs="Times New Roman" w:eastAsia="Times New Roman" w:hAnsi="Times New Roman"/>
          <w:sz w:val="24"/>
          <w:szCs w:val="24"/>
        </w:rPr>
        <w:t xml:space="preserve">The target population for this study consists of registered SME owners and operators in Dar es Salaam. According to the Tanzania Revenue Authority (TRA) business registry and FinScope Tanzania (2023), there are approximately 45,000 registered SMEs operating in Dar es Salaam. This population includes businesses across various sectors including trade, services, manufacturing, and agriculture. The population figure is drawn from the FinScope MSME Survey Tanzania (2023), which provides the most recent and comprehensive SME enumeration at the regional level.</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3.7 Sample Size and Sampling Technique</w:t>
      </w:r>
    </w:p>
    <w:p>
      <w:pPr>
        <w:spacing w:after="100" w:before="100" w:line="360"/>
        <w:ind w:firstLine="720"/>
        <w:jc w:val="both"/>
      </w:pPr>
      <w:r>
        <w:rPr>
          <w:rFonts w:ascii="Times New Roman" w:cs="Times New Roman" w:eastAsia="Times New Roman" w:hAnsi="Times New Roman"/>
          <w:sz w:val="24"/>
          <w:szCs w:val="24"/>
        </w:rPr>
        <w:t xml:space="preserve">The sample size for this study will be determined using the Yamane (1967) formula, which is commonly applied in social science research for finite populations:</w:t>
      </w:r>
    </w:p>
    <w:p>
      <w:pPr>
        <w:spacing w:after="120" w:before="120"/>
        <w:jc w:val="center"/>
      </w:pPr>
      <w:r>
        <w:rPr>
          <w:rFonts w:ascii="Times New Roman" w:cs="Times New Roman" w:eastAsia="Times New Roman" w:hAnsi="Times New Roman"/>
          <w:b/>
          <w:bCs/>
          <w:i/>
          <w:iCs/>
          <w:sz w:val="24"/>
          <w:szCs w:val="24"/>
        </w:rPr>
        <w:t xml:space="preserve">n = N / (1 + N(e²))</w:t>
      </w:r>
    </w:p>
    <w:p>
      <w:pPr>
        <w:spacing w:after="100" w:before="100" w:line="360"/>
        <w:ind w:firstLine="720"/>
        <w:jc w:val="both"/>
      </w:pPr>
      <w:r>
        <w:rPr>
          <w:rFonts w:ascii="Times New Roman" w:cs="Times New Roman" w:eastAsia="Times New Roman" w:hAnsi="Times New Roman"/>
          <w:sz w:val="24"/>
          <w:szCs w:val="24"/>
        </w:rPr>
        <w:t xml:space="preserve">Where: n = sample size, N = population size (45,000), e = margin of error (0.05 at 95% confidence level)</w:t>
      </w:r>
    </w:p>
    <w:p>
      <w:pPr>
        <w:spacing w:after="100" w:before="100" w:line="360"/>
        <w:ind w:firstLine="720"/>
        <w:jc w:val="both"/>
      </w:pPr>
      <w:r>
        <w:rPr>
          <w:rFonts w:ascii="Times New Roman" w:cs="Times New Roman" w:eastAsia="Times New Roman" w:hAnsi="Times New Roman"/>
          <w:sz w:val="24"/>
          <w:szCs w:val="24"/>
        </w:rPr>
        <w:t xml:space="preserve">n = 45,000 / (1 + 45,000 × (0.05)²) = 45,000 / (1 + 112.5) = 45,000 / 113.5 ≈ 397</w:t>
      </w:r>
    </w:p>
    <w:p>
      <w:pPr>
        <w:spacing w:after="100" w:before="100" w:line="360"/>
        <w:ind w:firstLine="720"/>
        <w:jc w:val="both"/>
      </w:pPr>
      <w:r>
        <w:rPr>
          <w:rFonts w:ascii="Times New Roman" w:cs="Times New Roman" w:eastAsia="Times New Roman" w:hAnsi="Times New Roman"/>
          <w:sz w:val="24"/>
          <w:szCs w:val="24"/>
        </w:rPr>
        <w:t xml:space="preserve">Rounding up, the study will target a minimum sample size of 400 SME respondents to ensure adequate representativeness and to account for potential non-responses.</w:t>
      </w:r>
    </w:p>
    <w:p>
      <w:pPr>
        <w:spacing w:after="100" w:before="100" w:line="360"/>
        <w:ind w:firstLine="720"/>
        <w:jc w:val="both"/>
      </w:pPr>
      <w:r>
        <w:rPr>
          <w:rFonts w:ascii="Times New Roman" w:cs="Times New Roman" w:eastAsia="Times New Roman" w:hAnsi="Times New Roman"/>
          <w:sz w:val="24"/>
          <w:szCs w:val="24"/>
        </w:rPr>
        <w:t xml:space="preserve">The study will use stratified random sampling. The SMEs will first be stratified into three sectors: trade/retail, services, and manufacturing. Respondents will then be randomly selected from each stratum in proportion to the stratum's share of the total population. This technique ensures that the sample is representative across different business types and reduces sampling bias (Bryman, 2016).</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3.8 Data Collection Methods and Instruments</w:t>
      </w:r>
    </w:p>
    <w:p>
      <w:pPr>
        <w:spacing w:after="100" w:before="100" w:line="360"/>
        <w:ind w:firstLine="720"/>
        <w:jc w:val="both"/>
      </w:pPr>
      <w:r>
        <w:rPr>
          <w:rFonts w:ascii="Times New Roman" w:cs="Times New Roman" w:eastAsia="Times New Roman" w:hAnsi="Times New Roman"/>
          <w:sz w:val="24"/>
          <w:szCs w:val="24"/>
        </w:rPr>
        <w:t xml:space="preserve">The primary data collection method for this study will be a structured questionnaire. The questionnaire will be self-administered to SME owners and operators in selected business clusters and markets across Dar es Salaam's three municipalities: Ilala, Kinondoni, and Temeke.</w:t>
      </w:r>
    </w:p>
    <w:p>
      <w:pPr>
        <w:spacing w:after="100" w:before="100" w:line="360"/>
        <w:ind w:firstLine="720"/>
        <w:jc w:val="both"/>
      </w:pPr>
      <w:r>
        <w:rPr>
          <w:rFonts w:ascii="Times New Roman" w:cs="Times New Roman" w:eastAsia="Times New Roman" w:hAnsi="Times New Roman"/>
          <w:sz w:val="24"/>
          <w:szCs w:val="24"/>
        </w:rPr>
        <w:t xml:space="preserve">The questionnaire will be divided into four sections:</w:t>
      </w:r>
    </w:p>
    <w:p>
      <w:pPr>
        <w:pStyle w:val="ListParagraph"/>
        <w:numPr>
          <w:ilvl w:val="0"/>
          <w:numId w:val="2"/>
        </w:numPr>
        <w:spacing w:after="60" w:before="60" w:line="340"/>
      </w:pPr>
      <w:r>
        <w:rPr>
          <w:rFonts w:ascii="Times New Roman" w:cs="Times New Roman" w:eastAsia="Times New Roman" w:hAnsi="Times New Roman"/>
          <w:sz w:val="24"/>
          <w:szCs w:val="24"/>
        </w:rPr>
        <w:t xml:space="preserve">Section A: Demographic information of the respondent (age, gender, education level, business sector, years of operation).</w:t>
      </w:r>
    </w:p>
    <w:p>
      <w:pPr>
        <w:pStyle w:val="ListParagraph"/>
        <w:numPr>
          <w:ilvl w:val="0"/>
          <w:numId w:val="2"/>
        </w:numPr>
        <w:spacing w:after="60" w:before="60" w:line="340"/>
      </w:pPr>
      <w:r>
        <w:rPr>
          <w:rFonts w:ascii="Times New Roman" w:cs="Times New Roman" w:eastAsia="Times New Roman" w:hAnsi="Times New Roman"/>
          <w:sz w:val="24"/>
          <w:szCs w:val="24"/>
        </w:rPr>
        <w:t xml:space="preserve">Section B: Digital banking adoption (awareness and use of mobile banking, internet banking, and agency banking services).</w:t>
      </w:r>
    </w:p>
    <w:p>
      <w:pPr>
        <w:pStyle w:val="ListParagraph"/>
        <w:numPr>
          <w:ilvl w:val="0"/>
          <w:numId w:val="2"/>
        </w:numPr>
        <w:spacing w:after="60" w:before="60" w:line="340"/>
      </w:pPr>
      <w:r>
        <w:rPr>
          <w:rFonts w:ascii="Times New Roman" w:cs="Times New Roman" w:eastAsia="Times New Roman" w:hAnsi="Times New Roman"/>
          <w:sz w:val="24"/>
          <w:szCs w:val="24"/>
        </w:rPr>
        <w:t xml:space="preserve">Section C: Financial inclusion indicators (access to credit, savings accounts, insurance services, and digital payment systems).</w:t>
      </w:r>
    </w:p>
    <w:p>
      <w:pPr>
        <w:pStyle w:val="ListParagraph"/>
        <w:numPr>
          <w:ilvl w:val="0"/>
          <w:numId w:val="2"/>
        </w:numPr>
        <w:spacing w:after="60" w:before="60" w:line="340"/>
      </w:pPr>
      <w:r>
        <w:rPr>
          <w:rFonts w:ascii="Times New Roman" w:cs="Times New Roman" w:eastAsia="Times New Roman" w:hAnsi="Times New Roman"/>
          <w:sz w:val="24"/>
          <w:szCs w:val="24"/>
        </w:rPr>
        <w:t xml:space="preserve">Section D: Perceived barriers to digital banking adoption (transaction costs, trust, financial literacy, and connectivity).</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Responses will be measured using a 5-point Likert scale (1 = Strongly Disagree to 5 = Strongly Agree) for attitudinal items, and categorical/checklist options for demographic and behavioral items. The questionnaire will be available in both English and Kiswahili to ensure accessibility for all respondents.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3.9 Validity and Reliability</w:t>
      </w:r>
    </w:p>
    <w:p>
      <w:pPr>
        <w:spacing w:after="100" w:before="100" w:line="360"/>
        <w:ind w:firstLine="720"/>
        <w:jc w:val="both"/>
      </w:pPr>
      <w:r>
        <w:rPr>
          <w:rFonts w:ascii="Times New Roman" w:cs="Times New Roman" w:eastAsia="Times New Roman" w:hAnsi="Times New Roman"/>
          <w:b/>
          <w:bCs/>
          <w:sz w:val="24"/>
          <w:szCs w:val="24"/>
        </w:rPr>
        <w:t xml:space="preserve">Validity: </w:t>
      </w:r>
      <w:r>
        <w:rPr>
          <w:rFonts w:ascii="Times New Roman" w:cs="Times New Roman" w:eastAsia="Times New Roman" w:hAnsi="Times New Roman"/>
          <w:sz w:val="24"/>
          <w:szCs w:val="24"/>
        </w:rPr>
        <w:t xml:space="preserve">To ensure content validity, the questionnaire will be reviewed by the research supervisor and two subject matter experts in finance and ICT before administration. Their feedback will be incorporated into the final instrument. Face validity will also be assessed through a pilot test conducted with 20 SME respondents outside the main sample.</w:t>
      </w:r>
    </w:p>
    <w:p>
      <w:pPr>
        <w:spacing w:after="60" w:before="60"/>
      </w:pPr>
      <w:r>
        <w:t xml:space="preserve"/>
      </w:r>
    </w:p>
    <w:p>
      <w:pPr>
        <w:spacing w:after="100" w:before="100" w:line="360"/>
        <w:ind w:firstLine="72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Internal consistency will be measured using Cronbach's Alpha coefficient. A Cronbach's Alpha value of 0.70 or above is considered acceptable in social science research (Nunnally, 1978). The pilot test results will be used to compute the Alpha coefficient, and any items falling below the threshold will be revised or removed before the final questionnaire is administered.</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3.10 Data Analysis Methods</w:t>
      </w:r>
    </w:p>
    <w:p>
      <w:pPr>
        <w:spacing w:after="100" w:before="100" w:line="360"/>
        <w:ind w:firstLine="720"/>
        <w:jc w:val="both"/>
      </w:pPr>
      <w:r>
        <w:rPr>
          <w:rFonts w:ascii="Times New Roman" w:cs="Times New Roman" w:eastAsia="Times New Roman" w:hAnsi="Times New Roman"/>
          <w:sz w:val="24"/>
          <w:szCs w:val="24"/>
        </w:rPr>
        <w:t xml:space="preserve">Quantitative data collected through the questionnaires will be analyzed using the Statistical Package for Social Sciences (SPSS) software, Version 26. The following analytical techniques will be applied:</w:t>
      </w:r>
    </w:p>
    <w:p>
      <w:pPr>
        <w:pStyle w:val="ListParagraph"/>
        <w:numPr>
          <w:ilvl w:val="0"/>
          <w:numId w:val="2"/>
        </w:numPr>
        <w:spacing w:after="60" w:before="60" w:line="340"/>
      </w:pPr>
      <w:r>
        <w:rPr>
          <w:rFonts w:ascii="Times New Roman" w:cs="Times New Roman" w:eastAsia="Times New Roman" w:hAnsi="Times New Roman"/>
          <w:sz w:val="24"/>
          <w:szCs w:val="24"/>
        </w:rPr>
        <w:t xml:space="preserve">Descriptive Statistics: Frequencies, percentages, means, and standard deviations will be used to summarize demographic characteristics and describe respondents' digital banking adoption levels.</w:t>
      </w:r>
    </w:p>
    <w:p>
      <w:pPr>
        <w:pStyle w:val="ListParagraph"/>
        <w:numPr>
          <w:ilvl w:val="0"/>
          <w:numId w:val="2"/>
        </w:numPr>
        <w:spacing w:after="60" w:before="60" w:line="340"/>
      </w:pPr>
      <w:r>
        <w:rPr>
          <w:rFonts w:ascii="Times New Roman" w:cs="Times New Roman" w:eastAsia="Times New Roman" w:hAnsi="Times New Roman"/>
          <w:sz w:val="24"/>
          <w:szCs w:val="24"/>
        </w:rPr>
        <w:t xml:space="preserve">Inferential Statistics: Pearson's correlation analysis will be used to determine the strength and direction of the relationship between digital banking variables and financial inclusion outcomes. Multiple regression analysis will further establish the predictive influence of specific digital banking services on financial inclusion.</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Data will be presented using tables, charts, and graphs to enhance clarity and interpretability of the findings.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3.11 Ethical Considerations</w:t>
      </w:r>
    </w:p>
    <w:p>
      <w:pPr>
        <w:spacing w:after="100" w:before="100" w:line="360"/>
        <w:ind w:firstLine="720"/>
        <w:jc w:val="both"/>
      </w:pPr>
      <w:r>
        <w:rPr>
          <w:rFonts w:ascii="Times New Roman" w:cs="Times New Roman" w:eastAsia="Times New Roman" w:hAnsi="Times New Roman"/>
          <w:sz w:val="24"/>
          <w:szCs w:val="24"/>
        </w:rPr>
        <w:t xml:space="preserve">The researcher will adhere to the following ethical principles throughout the study:</w:t>
      </w:r>
    </w:p>
    <w:p>
      <w:pPr>
        <w:pStyle w:val="ListParagraph"/>
        <w:numPr>
          <w:ilvl w:val="0"/>
          <w:numId w:val="2"/>
        </w:numPr>
        <w:spacing w:after="60" w:before="60" w:line="340"/>
      </w:pPr>
      <w:r>
        <w:rPr>
          <w:rFonts w:ascii="Times New Roman" w:cs="Times New Roman" w:eastAsia="Times New Roman" w:hAnsi="Times New Roman"/>
          <w:sz w:val="24"/>
          <w:szCs w:val="24"/>
        </w:rPr>
        <w:t xml:space="preserve">Informed Consent: All participants will be informed about the purpose of the study, their rights as respondents, and how data will be used. Written or verbal consent will be obtained before data collection commences.</w:t>
      </w:r>
    </w:p>
    <w:p>
      <w:pPr>
        <w:pStyle w:val="ListParagraph"/>
        <w:numPr>
          <w:ilvl w:val="0"/>
          <w:numId w:val="2"/>
        </w:numPr>
        <w:spacing w:after="60" w:before="60" w:line="340"/>
      </w:pPr>
      <w:r>
        <w:rPr>
          <w:rFonts w:ascii="Times New Roman" w:cs="Times New Roman" w:eastAsia="Times New Roman" w:hAnsi="Times New Roman"/>
          <w:sz w:val="24"/>
          <w:szCs w:val="24"/>
        </w:rPr>
        <w:t xml:space="preserve">Confidentiality: The identities and responses of individual participants will not be disclosed to any third party. Collected data will be stored securely and used exclusively for academic purposes.</w:t>
      </w:r>
    </w:p>
    <w:p>
      <w:pPr>
        <w:pStyle w:val="ListParagraph"/>
        <w:numPr>
          <w:ilvl w:val="0"/>
          <w:numId w:val="2"/>
        </w:numPr>
        <w:spacing w:after="60" w:before="60" w:line="340"/>
      </w:pPr>
      <w:r>
        <w:rPr>
          <w:rFonts w:ascii="Times New Roman" w:cs="Times New Roman" w:eastAsia="Times New Roman" w:hAnsi="Times New Roman"/>
          <w:sz w:val="24"/>
          <w:szCs w:val="24"/>
        </w:rPr>
        <w:t xml:space="preserve">Anonymity: Questionnaires will not require respondents to provide personally identifying information such as names or business registration numbers unless voluntarily disclosed.</w:t>
      </w:r>
    </w:p>
    <w:p>
      <w:pPr>
        <w:pStyle w:val="ListParagraph"/>
        <w:numPr>
          <w:ilvl w:val="0"/>
          <w:numId w:val="2"/>
        </w:numPr>
        <w:spacing w:after="60" w:before="60" w:line="340"/>
      </w:pPr>
      <w:r>
        <w:rPr>
          <w:rFonts w:ascii="Times New Roman" w:cs="Times New Roman" w:eastAsia="Times New Roman" w:hAnsi="Times New Roman"/>
          <w:sz w:val="24"/>
          <w:szCs w:val="24"/>
        </w:rPr>
        <w:t xml:space="preserve">Voluntary Participation: Participation in the study will be entirely voluntary. Respondents will be informed of their right to withdraw at any time without consequence.</w:t>
      </w:r>
    </w:p>
    <w:p>
      <w:pPr>
        <w:pStyle w:val="ListParagraph"/>
        <w:numPr>
          <w:ilvl w:val="0"/>
          <w:numId w:val="2"/>
        </w:numPr>
        <w:spacing w:after="60" w:before="60" w:line="340"/>
      </w:pPr>
      <w:r>
        <w:rPr>
          <w:rFonts w:ascii="Times New Roman" w:cs="Times New Roman" w:eastAsia="Times New Roman" w:hAnsi="Times New Roman"/>
          <w:sz w:val="24"/>
          <w:szCs w:val="24"/>
        </w:rPr>
        <w:t xml:space="preserve">Protection from Harm: The study poses no physical or psychological risk to participants. The researcher will ensure that no sensitive business or financial information is solicited in ways that could expose respondents to commercial or legal risk.</w:t>
      </w:r>
    </w:p>
    <w:p>
      <w:pPr>
        <w:spacing w:after="60" w:before="60"/>
      </w:pPr>
      <w:r>
        <w:t xml:space="preserve"/>
      </w:r>
    </w:p>
    <w:p>
      <w:pPr>
        <w:spacing w:after="100" w:before="100" w:line="360"/>
        <w:ind w:firstLine="720"/>
        <w:jc w:val="both"/>
      </w:pPr>
      <w:r>
        <w:rPr>
          <w:rFonts w:ascii="Times New Roman" w:cs="Times New Roman" w:eastAsia="Times New Roman" w:hAnsi="Times New Roman"/>
          <w:sz w:val="24"/>
          <w:szCs w:val="24"/>
        </w:rPr>
        <w:t xml:space="preserve">Ethical clearance will be sought from the relevant institutional review authority before fieldwork begins.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3.12 References</w:t>
      </w:r>
    </w:p>
    <w:p>
      <w:pPr>
        <w:spacing w:after="80" w:before="80" w:line="340"/>
        <w:ind w:left="720" w:hanging="720"/>
      </w:pPr>
      <w:r>
        <w:rPr>
          <w:rFonts w:ascii="Times New Roman" w:cs="Times New Roman" w:eastAsia="Times New Roman" w:hAnsi="Times New Roman"/>
          <w:b w:val="false"/>
          <w:bCs w:val="false"/>
          <w:i w:val="false"/>
          <w:iCs w:val="false"/>
          <w:sz w:val="24"/>
          <w:szCs w:val="24"/>
        </w:rPr>
        <w:t xml:space="preserve">Bank of Tanzania. (2023). </w:t>
      </w:r>
      <w:r>
        <w:rPr>
          <w:rFonts w:ascii="Times New Roman" w:cs="Times New Roman" w:eastAsia="Times New Roman" w:hAnsi="Times New Roman"/>
          <w:i/>
          <w:iCs/>
          <w:sz w:val="24"/>
          <w:szCs w:val="24"/>
        </w:rPr>
        <w:t xml:space="preserve">Annual Report on Payment Systems.</w:t>
      </w:r>
      <w:r>
        <w:rPr>
          <w:rFonts w:ascii="Times New Roman" w:cs="Times New Roman" w:eastAsia="Times New Roman" w:hAnsi="Times New Roman"/>
          <w:sz w:val="24"/>
          <w:szCs w:val="24"/>
        </w:rPr>
        <w:t xml:space="preserve"> BoT.</w:t>
      </w:r>
    </w:p>
    <w:p>
      <w:pPr>
        <w:spacing w:after="80" w:before="80" w:line="340"/>
        <w:ind w:left="720" w:hanging="720"/>
      </w:pPr>
      <w:r>
        <w:rPr>
          <w:rFonts w:ascii="Times New Roman" w:cs="Times New Roman" w:eastAsia="Times New Roman" w:hAnsi="Times New Roman"/>
          <w:sz w:val="24"/>
          <w:szCs w:val="24"/>
        </w:rPr>
        <w:t xml:space="preserve">Bryman, A. (2016). </w:t>
      </w:r>
      <w:r>
        <w:rPr>
          <w:rFonts w:ascii="Times New Roman" w:cs="Times New Roman" w:eastAsia="Times New Roman" w:hAnsi="Times New Roman"/>
          <w:i/>
          <w:iCs/>
          <w:sz w:val="24"/>
          <w:szCs w:val="24"/>
        </w:rPr>
        <w:t xml:space="preserve">Social Research Methods </w:t>
      </w:r>
      <w:r>
        <w:rPr>
          <w:rFonts w:ascii="Times New Roman" w:cs="Times New Roman" w:eastAsia="Times New Roman" w:hAnsi="Times New Roman"/>
          <w:sz w:val="24"/>
          <w:szCs w:val="24"/>
        </w:rPr>
        <w:t xml:space="preserve">(5th ed.). Oxford University Press.</w:t>
      </w:r>
    </w:p>
    <w:p>
      <w:pPr>
        <w:spacing w:after="80" w:before="80" w:line="340"/>
        <w:ind w:left="720" w:hanging="720"/>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 </w:t>
      </w:r>
      <w:r>
        <w:rPr>
          <w:rFonts w:ascii="Times New Roman" w:cs="Times New Roman" w:eastAsia="Times New Roman" w:hAnsi="Times New Roman"/>
          <w:sz w:val="24"/>
          <w:szCs w:val="24"/>
        </w:rPr>
        <w:t xml:space="preserve">(4th ed.). SAGE Publications.</w:t>
      </w:r>
    </w:p>
    <w:p>
      <w:pPr>
        <w:spacing w:after="80" w:before="80" w:line="340"/>
        <w:ind w:left="720" w:hanging="720"/>
      </w:pPr>
      <w:r>
        <w:rPr>
          <w:rFonts w:ascii="Times New Roman" w:cs="Times New Roman" w:eastAsia="Times New Roman" w:hAnsi="Times New Roman"/>
          <w:sz w:val="24"/>
          <w:szCs w:val="24"/>
        </w:rPr>
        <w:t xml:space="preserve">FinScope Tanzania. (2023). </w:t>
      </w:r>
      <w:r>
        <w:rPr>
          <w:rFonts w:ascii="Times New Roman" w:cs="Times New Roman" w:eastAsia="Times New Roman" w:hAnsi="Times New Roman"/>
          <w:i/>
          <w:iCs/>
          <w:sz w:val="24"/>
          <w:szCs w:val="24"/>
        </w:rPr>
        <w:t xml:space="preserve">FinScope MSME Survey Tanzania 2023.</w:t>
      </w:r>
      <w:r>
        <w:rPr>
          <w:rFonts w:ascii="Times New Roman" w:cs="Times New Roman" w:eastAsia="Times New Roman" w:hAnsi="Times New Roman"/>
          <w:sz w:val="24"/>
          <w:szCs w:val="24"/>
        </w:rPr>
        <w:t xml:space="preserve"> FinScope.</w:t>
      </w:r>
    </w:p>
    <w:p>
      <w:pPr>
        <w:spacing w:after="80" w:before="80" w:line="340"/>
        <w:ind w:left="720" w:hanging="720"/>
      </w:pPr>
      <w:r>
        <w:rPr>
          <w:rFonts w:ascii="Times New Roman" w:cs="Times New Roman" w:eastAsia="Times New Roman" w:hAnsi="Times New Roman"/>
          <w:sz w:val="24"/>
          <w:szCs w:val="24"/>
        </w:rPr>
        <w:t xml:space="preserve">Kothari, C. R. (2004). </w:t>
      </w:r>
      <w:r>
        <w:rPr>
          <w:rFonts w:ascii="Times New Roman" w:cs="Times New Roman" w:eastAsia="Times New Roman" w:hAnsi="Times New Roman"/>
          <w:i/>
          <w:iCs/>
          <w:sz w:val="24"/>
          <w:szCs w:val="24"/>
        </w:rPr>
        <w:t xml:space="preserve">Research Methodology: Methods and Techniques </w:t>
      </w:r>
      <w:r>
        <w:rPr>
          <w:rFonts w:ascii="Times New Roman" w:cs="Times New Roman" w:eastAsia="Times New Roman" w:hAnsi="Times New Roman"/>
          <w:sz w:val="24"/>
          <w:szCs w:val="24"/>
        </w:rPr>
        <w:t xml:space="preserve">(2nd ed.). New Age International.</w:t>
      </w:r>
    </w:p>
    <w:p>
      <w:pPr>
        <w:spacing w:after="80" w:before="80" w:line="340"/>
        <w:ind w:left="720" w:hanging="720"/>
      </w:pPr>
      <w:r>
        <w:rPr>
          <w:rFonts w:ascii="Times New Roman" w:cs="Times New Roman" w:eastAsia="Times New Roman" w:hAnsi="Times New Roman"/>
          <w:sz w:val="24"/>
          <w:szCs w:val="24"/>
        </w:rPr>
        <w:t xml:space="preserve">Nunnally, J. C. (1978). </w:t>
      </w:r>
      <w:r>
        <w:rPr>
          <w:rFonts w:ascii="Times New Roman" w:cs="Times New Roman" w:eastAsia="Times New Roman" w:hAnsi="Times New Roman"/>
          <w:i/>
          <w:iCs/>
          <w:sz w:val="24"/>
          <w:szCs w:val="24"/>
        </w:rPr>
        <w:t xml:space="preserve">Psychometric Theory </w:t>
      </w:r>
      <w:r>
        <w:rPr>
          <w:rFonts w:ascii="Times New Roman" w:cs="Times New Roman" w:eastAsia="Times New Roman" w:hAnsi="Times New Roman"/>
          <w:sz w:val="24"/>
          <w:szCs w:val="24"/>
        </w:rPr>
        <w:t xml:space="preserve">(2nd ed.). McGraw-Hill.</w:t>
      </w:r>
    </w:p>
    <w:p>
      <w:pPr>
        <w:spacing w:after="80" w:before="80" w:line="340"/>
        <w:ind w:left="720" w:hanging="720"/>
      </w:pPr>
      <w:r>
        <w:rPr>
          <w:rFonts w:ascii="Times New Roman" w:cs="Times New Roman" w:eastAsia="Times New Roman" w:hAnsi="Times New Roman"/>
          <w:sz w:val="24"/>
          <w:szCs w:val="24"/>
        </w:rPr>
        <w:t xml:space="preserve">Saunders, M., Lewis, P., &amp; Thornhill, A. (2019). </w:t>
      </w:r>
      <w:r>
        <w:rPr>
          <w:rFonts w:ascii="Times New Roman" w:cs="Times New Roman" w:eastAsia="Times New Roman" w:hAnsi="Times New Roman"/>
          <w:i/>
          <w:iCs/>
          <w:sz w:val="24"/>
          <w:szCs w:val="24"/>
        </w:rPr>
        <w:t xml:space="preserve">Research Methods for Business Students </w:t>
      </w:r>
      <w:r>
        <w:rPr>
          <w:rFonts w:ascii="Times New Roman" w:cs="Times New Roman" w:eastAsia="Times New Roman" w:hAnsi="Times New Roman"/>
          <w:sz w:val="24"/>
          <w:szCs w:val="24"/>
        </w:rPr>
        <w:t xml:space="preserve">(8th ed.). Pearson Education.</w:t>
      </w:r>
    </w:p>
    <w:p>
      <w:pPr>
        <w:spacing w:after="80" w:before="80" w:line="340"/>
        <w:ind w:left="720" w:hanging="720"/>
      </w:pPr>
      <w:r>
        <w:rPr>
          <w:rFonts w:ascii="Times New Roman" w:cs="Times New Roman" w:eastAsia="Times New Roman" w:hAnsi="Times New Roman"/>
          <w:sz w:val="24"/>
          <w:szCs w:val="24"/>
        </w:rPr>
        <w:t xml:space="preserve">Yamane, T. (1967). </w:t>
      </w:r>
      <w:r>
        <w:rPr>
          <w:rFonts w:ascii="Times New Roman" w:cs="Times New Roman" w:eastAsia="Times New Roman" w:hAnsi="Times New Roman"/>
          <w:i/>
          <w:iCs/>
          <w:sz w:val="24"/>
          <w:szCs w:val="24"/>
        </w:rPr>
        <w:t xml:space="preserve">Statistics: An Introductory Analysis </w:t>
      </w:r>
      <w:r>
        <w:rPr>
          <w:rFonts w:ascii="Times New Roman" w:cs="Times New Roman" w:eastAsia="Times New Roman" w:hAnsi="Times New Roman"/>
          <w:sz w:val="24"/>
          <w:szCs w:val="24"/>
        </w:rPr>
        <w:t xml:space="preserve">(2nd ed.). Harper &amp; 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center"/>
    </w:pPr>
    <w:r>
      <w:rPr>
        <w:rFonts w:ascii="Times New Roman" w:cs="Times New Roman" w:eastAsia="Times New Roman" w:hAnsi="Times New Roman"/>
        <w:color w:val="555555"/>
        <w:sz w:val="18"/>
        <w:szCs w:val="18"/>
      </w:rPr>
      <w:t xml:space="preserve">THE IMPACT OF DIGITAL BANKING ON FINANCIAL INCLUSION AMONG SMEs IN TANZANIA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2026-05-28T11:48:57.754Z</dcterms:created>
  <dcterms:modified xsi:type="dcterms:W3CDTF">2026-05-28T11:48:57.754Z</dcterms:modified>
</cp:coreProperties>
</file>

<file path=docProps/custom.xml><?xml version="1.0" encoding="utf-8"?>
<Properties xmlns="http://schemas.openxmlformats.org/officeDocument/2006/custom-properties" xmlns:vt="http://schemas.openxmlformats.org/officeDocument/2006/docPropsVTypes"/>
</file>