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 w:eastAsia="Microsoft YaHei"/>
          <w:b/>
          <w:color w:val="1665D8"/>
          <w:sz w:val="52"/>
        </w:rPr>
        <w:t>AEOS V7.2</w:t>
      </w:r>
    </w:p>
    <w:p>
      <w:pPr>
        <w:spacing w:before="80"/>
        <w:jc w:val="center"/>
      </w:pPr>
      <w:r>
        <w:rPr>
          <w:rFonts w:ascii="Arial" w:hAnsi="Arial" w:eastAsia="Microsoft YaHei"/>
          <w:b/>
          <w:color w:val="17365D"/>
          <w:sz w:val="56"/>
        </w:rPr>
        <w:t>System Registry V1</w:t>
      </w:r>
    </w:p>
    <w:p>
      <w:pPr>
        <w:jc w:val="center"/>
      </w:pPr>
      <w:r>
        <w:rPr>
          <w:rFonts w:ascii="Arial" w:hAnsi="Arial" w:eastAsia="Microsoft YaHei"/>
          <w:b/>
          <w:color w:val="2F75B5"/>
          <w:sz w:val="32"/>
        </w:rPr>
        <w:t>P0-01 最终命名与一级架构冻结 · 受控交付物</w:t>
      </w:r>
    </w:p>
    <w:p>
      <w:pPr>
        <w:spacing w:before="120" w:after="320" w:line="269" w:lineRule="auto"/>
        <w:jc w:val="center"/>
      </w:pPr>
      <w:r>
        <w:rPr>
          <w:rFonts w:ascii="Arial" w:hAnsi="Arial" w:eastAsia="Microsoft YaHei"/>
          <w:b w:val="0"/>
          <w:color w:val="44546A"/>
          <w:sz w:val="22"/>
        </w:rPr>
        <w:t>用于批准并冻结 AEOS / EBMS / 六大自治中心 / POMS / 两个共享平台的正式名称与一级职责边界。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文档编号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AEOS-P0-01-SR-V1</w:t>
            </w:r>
          </w:p>
        </w:tc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版本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V1.0</w:t>
            </w:r>
          </w:p>
        </w:tc>
      </w:tr>
      <w:tr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任务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P0-01 最终命名与一级架构冻结</w:t>
            </w:r>
          </w:p>
        </w:tc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状态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待签批 / 签批后冻结生效</w:t>
            </w:r>
          </w:p>
        </w:tc>
      </w:tr>
      <w:tr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上位基线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AEOS V7.2 分模块分阶段具体执行方案 V1.0</w:t>
            </w:r>
          </w:p>
        </w:tc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控制级别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公司级受控架构基线</w:t>
            </w:r>
          </w:p>
        </w:tc>
      </w:tr>
      <w:tr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2026-09-18</w:t>
            </w:r>
          </w:p>
        </w:tc>
        <w:tc>
          <w:tcPr>
            <w:tcW w:type="dxa" w:w="1587"/>
            <w:shd w:fill="EAF2F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4E79"/>
                <w:sz w:val="16"/>
              </w:rPr>
              <w:t>责任主体</w:t>
            </w:r>
          </w:p>
        </w:tc>
        <w:tc>
          <w:tcPr>
            <w:tcW w:type="dxa" w:w="481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AEOS Program Office / Architecture Board</w:t>
            </w:r>
          </w:p>
        </w:tc>
      </w:tr>
    </w:tbl>
    <w:p>
      <w:pPr>
        <w:spacing w:before="280" w:after="80" w:line="269" w:lineRule="auto"/>
        <w:jc w:val="center"/>
      </w:pPr>
      <w:r>
        <w:rPr>
          <w:rFonts w:ascii="Arial" w:hAnsi="Arial" w:eastAsia="Microsoft YaHei"/>
          <w:b/>
          <w:color w:val="9C5700"/>
          <w:sz w:val="18"/>
        </w:rPr>
        <w:t>生效规则：本文件经 Steering Committee / 项目发起人批准后，一级命名与边界进入冻结状态。任何变化均按 Architecture Change 流程处理，不得在 Sprint 内直接修改。</w:t>
      </w:r>
    </w:p>
    <w:p>
      <w:r>
        <w:br w:type="page"/>
      </w:r>
    </w:p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1. P0-01 冻结决议</w:t>
      </w:r>
    </w:p>
    <w:p>
      <w:pPr>
        <w:spacing w:before="0" w:after="80" w:line="269" w:lineRule="auto"/>
      </w:pPr>
      <w:r>
        <w:rPr>
          <w:rFonts w:ascii="Arial" w:hAnsi="Arial" w:eastAsia="Microsoft YaHei"/>
          <w:b w:val="0"/>
          <w:color w:val="25324B"/>
          <w:sz w:val="19"/>
        </w:rPr>
        <w:t>本交付物的目标不是增加功能，而是给所有后续开发建立唯一、稳定、可引用的“一级系统地图”。P0 阶段要求先冻结一级命名和系统边界，再进入模块化、共享底座与业务闭环。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81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冻结项</w:t>
            </w:r>
          </w:p>
        </w:tc>
        <w:tc>
          <w:tcPr>
            <w:tcW w:type="dxa" w:w="708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V1 决议</w:t>
            </w:r>
          </w:p>
        </w:tc>
        <w:tc>
          <w:tcPr>
            <w:tcW w:type="dxa" w:w="595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控制要求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一级体系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AEOS 为唯一上位框架；下设 2 个共享平台、1 个管理系统、6 个专业自治中心、1 个岗位个人操作微系统。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后续方案、代码仓、接口、数据、Agent/Skill 必须归属到唯一一级边界。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EBMS 定位</w:t>
            </w:r>
          </w:p>
        </w:tc>
        <w:tc>
          <w:tcPr>
            <w:tcW w:type="dxa" w:w="708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EBMS 是面向决策者的企业经营管理与决策系统；M03A“产销自治”是 EBMS 内部管理编排模块，不升级为独立一级中心。</w:t>
            </w:r>
          </w:p>
        </w:tc>
        <w:tc>
          <w:tcPr>
            <w:tcW w:type="dxa" w:w="5953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EBMS 不承担专业执行事实 Owner，不膨胀为超级 ERP。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专业中心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研发、销售、交付、人才与后勤、品控、财经六个中心分别拥有专业域事实、规则、能力与 Result 输出。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跨中心协同通过标准 Object/Event/Result/Evidence/Capability，不跨域直接写表。</w:t>
            </w:r>
          </w:p>
        </w:tc>
      </w:tr>
      <w:tr>
        <w:tc>
          <w:tcPr>
            <w:tcW w:type="dxa" w:w="181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共享平台</w:t>
            </w:r>
          </w:p>
        </w:tc>
        <w:tc>
          <w:tcPr>
            <w:tcW w:type="dxa" w:w="708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AEOS Kernel 负责共享规则/自治内核；Enterprise Data &amp; Evidence Platform 负责统一事实、主数据与证据。</w:t>
            </w:r>
          </w:p>
        </w:tc>
        <w:tc>
          <w:tcPr>
            <w:tcW w:type="dxa" w:w="5953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共享平台只做共性能力，不吸收专业中心业务逻辑。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POMS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POMS 是执行者岗位入口：1 Kernel + N Role Templates + Personal Context。</w:t>
            </w:r>
          </w:p>
        </w:tc>
        <w:tc>
          <w:tcPr>
            <w:tcW w:type="dxa" w:w="595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禁止“一人一套代码”；岗位层只消费被授权的任务、技能、工具与证据。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2. 一级架构视图（Frozen L1 Architecture）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15252"/>
            <w:gridSpan w:val="6"/>
            <w:shd w:fill="123A6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4"/>
              </w:rPr>
              <w:t>AEOS V7.2  —  下一代自进化企业自治操作系统（上位框架）</w:t>
            </w:r>
          </w:p>
        </w:tc>
      </w:tr>
      <w:tr>
        <w:tc>
          <w:tcPr>
            <w:tcW w:type="dxa" w:w="5084"/>
            <w:gridSpan w:val="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M01  AEOS Kernel</w:t>
              <w:br/>
              <w:t>共享自治内核</w:t>
            </w:r>
          </w:p>
        </w:tc>
        <w:tc>
          <w:tcPr>
            <w:tcW w:type="dxa" w:w="5084"/>
            <w:gridSpan w:val="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M02  Enterprise Data &amp; Evidence Platform</w:t>
              <w:br/>
              <w:t>企业数据与证据平台</w:t>
            </w:r>
          </w:p>
        </w:tc>
        <w:tc>
          <w:tcPr>
            <w:tcW w:type="dxa" w:w="5084"/>
            <w:gridSpan w:val="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17365D"/>
                <w:sz w:val="18"/>
              </w:rPr>
              <w:t>M03  EBMS</w:t>
              <w:br/>
              <w:t>企业经营管理与决策系统</w:t>
            </w:r>
          </w:p>
        </w:tc>
      </w:tr>
      <w:tr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M04</w:t>
              <w:br/>
              <w:t>研发自治中心</w:t>
            </w:r>
          </w:p>
        </w:tc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M05</w:t>
              <w:br/>
              <w:t>销售自治中心</w:t>
            </w:r>
          </w:p>
        </w:tc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M06</w:t>
              <w:br/>
              <w:t>交付自治中心</w:t>
            </w:r>
          </w:p>
        </w:tc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M07</w:t>
              <w:br/>
              <w:t>人才与后勤服务中心</w:t>
              <w:br/>
              <w:t>（恒聘通）</w:t>
            </w:r>
          </w:p>
        </w:tc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M08</w:t>
              <w:br/>
              <w:t>品控自治中心</w:t>
            </w:r>
          </w:p>
        </w:tc>
        <w:tc>
          <w:tcPr>
            <w:tcW w:type="dxa" w:w="2542"/>
            <w:shd w:fill="E2F0D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385723"/>
                <w:sz w:val="17"/>
              </w:rPr>
              <w:t>M09</w:t>
              <w:br/>
              <w:t>财经自治中心</w:t>
            </w:r>
          </w:p>
        </w:tc>
      </w:tr>
      <w:tr>
        <w:tc>
          <w:tcPr>
            <w:tcW w:type="dxa" w:w="15252"/>
            <w:gridSpan w:val="6"/>
            <w:shd w:fill="FFF2C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7F6000"/>
                <w:sz w:val="19"/>
              </w:rPr>
              <w:t>M10  POMS 岗位个人操作微系统  —  1 Kernel + N Role Templates + Personal Context</w:t>
            </w:r>
          </w:p>
        </w:tc>
      </w:tr>
      <w:tr>
        <w:tc>
          <w:tcPr>
            <w:tcW w:type="dxa" w:w="15252"/>
            <w:gridSpan w:val="6"/>
            <w:shd w:fill="F2F2F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595959"/>
                <w:sz w:val="16"/>
              </w:rPr>
              <w:t>横向受控支撑（非本次一级业务命名对象）：M00 项目治理与架构控制 ｜ M11 集成与智能硬件接入 ｜ M12 DevSecOps / Observability / QA</w:t>
            </w:r>
          </w:p>
        </w:tc>
      </w:tr>
    </w:tbl>
    <w:p>
      <w:pPr>
        <w:spacing w:before="80" w:after="80" w:line="269" w:lineRule="auto"/>
      </w:pPr>
      <w:r>
        <w:rPr>
          <w:rFonts w:ascii="Arial" w:hAnsi="Arial" w:eastAsia="Microsoft YaHei"/>
          <w:b w:val="0"/>
          <w:color w:val="595959"/>
          <w:sz w:val="17"/>
        </w:rPr>
        <w:t>解释：M03A「EBMS·产销自治模块」属于 M03 内部模块，用于跨中心经营感知、风险、What-if、决策与 Action 编排；它不取得 Sales / Delivery / R&amp;D / Quality / Finance 的专业事实所有权。</w:t>
      </w:r>
    </w:p>
    <w:p>
      <w:r>
        <w:br w:type="page"/>
      </w:r>
    </w:p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3. System Registry V1 — 一级系统登记册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73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243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正式中文名称</w:t>
            </w:r>
          </w:p>
        </w:tc>
        <w:tc>
          <w:tcPr>
            <w:tcW w:type="dxa" w:w="255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英文/代码名称</w:t>
            </w:r>
          </w:p>
        </w:tc>
        <w:tc>
          <w:tcPr>
            <w:tcW w:type="dxa" w:w="141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L1 类型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边界内（Own / Do）</w:t>
            </w:r>
          </w:p>
        </w:tc>
        <w:tc>
          <w:tcPr>
            <w:tcW w:type="dxa" w:w="357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边界外（Must Not）</w:t>
            </w:r>
          </w:p>
        </w:tc>
        <w:tc>
          <w:tcPr>
            <w:tcW w:type="dxa" w:w="192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Accountable Owner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AEOS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AEOS V7.2 企业自治操作系统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AEOS V7.2 Enterprise Autonomous Operating System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上位框架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统一权限、目标、流程、评价、自治等级与跨域治理；承载全部一级系统的共同规则。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不直接成为各专业域事实 Owner；不替代专业中心。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Steering Committee / Program Sponsor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M01</w:t>
            </w:r>
          </w:p>
        </w:tc>
        <w:tc>
          <w:tcPr>
            <w:tcW w:type="dxa" w:w="243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AEOS Kernel（共享自治内核）</w:t>
            </w:r>
          </w:p>
        </w:tc>
        <w:tc>
          <w:tcPr>
            <w:tcW w:type="dxa" w:w="255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AEOS Kernel</w:t>
            </w:r>
          </w:p>
        </w:tc>
        <w:tc>
          <w:tcPr>
            <w:tcW w:type="dxa" w:w="141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共享平台 1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Identity / Org / RoleContext / Permission / Policy / Objective / Event / Task / Decision / Action / Guard / Agent / Skill / Memory / Autonomy Registry。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不得做重型万能平台；LLM 不得自判权限或直接写重大正式数据。</w:t>
            </w:r>
          </w:p>
        </w:tc>
        <w:tc>
          <w:tcPr>
            <w:tcW w:type="dxa" w:w="192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Platform Lead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M02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企业数据与证据平台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Enterprise Data &amp; Evidence Platform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共享平台 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MDM、Business Object、PostgreSQL 多 Schema、Event/Evidence/Audit、Result Hub、Value Ledger、Object Storage。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“统一数据”不等于超级数据库；禁止各系统跨域直接写表。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Data Lead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M03</w:t>
            </w:r>
          </w:p>
        </w:tc>
        <w:tc>
          <w:tcPr>
            <w:tcW w:type="dxa" w:w="243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EBMS 企业经营管理与决策系统</w:t>
            </w:r>
          </w:p>
        </w:tc>
        <w:tc>
          <w:tcPr>
            <w:tcW w:type="dxa" w:w="255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Enterprise Business Management &amp; Decision System</w:t>
            </w:r>
          </w:p>
        </w:tc>
        <w:tc>
          <w:tcPr>
            <w:tcW w:type="dxa" w:w="141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管理系统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面向决策者统一呈现 REPORT / TODO / Exception / Decision / Evidence / KPI / Value；消费专业中心 Result。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不做专业执行；不复制第二套专业事实；不膨胀为超级 ERP。</w:t>
            </w:r>
          </w:p>
        </w:tc>
        <w:tc>
          <w:tcPr>
            <w:tcW w:type="dxa" w:w="192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EBMS Lead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M04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研发自治中心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R&amp;D Autonomous Center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Requirement → Drawing/Model → Validation → BOM/ECO → Release → 技术转移；拥有研发专业对象、规则、Skill 与 Result。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正式 BOM/图纸/Release 必须 Guard + 人类责任；AI 不得无审核发布。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R&amp;D Lead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M05</w:t>
            </w:r>
          </w:p>
        </w:tc>
        <w:tc>
          <w:tcPr>
            <w:tcW w:type="dxa" w:w="243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销售自治中心</w:t>
            </w:r>
          </w:p>
        </w:tc>
        <w:tc>
          <w:tcPr>
            <w:tcW w:type="dxa" w:w="255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Sales Autonomous Center</w:t>
            </w:r>
          </w:p>
        </w:tc>
        <w:tc>
          <w:tcPr>
            <w:tcW w:type="dxa" w:w="141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2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Lead / Customer / Inquiry / Quote / Contract / OrderQuality / CustomerValue / CollectionRisk；输出订单质量、客户价值、承诺风险能力。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订单承诺不得绕过 Delivery 能力验证；重大报价/合同条款保留审批。</w:t>
            </w:r>
          </w:p>
        </w:tc>
        <w:tc>
          <w:tcPr>
            <w:tcW w:type="dxa" w:w="192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Sales Lead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M06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交付自治中心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Delivery Autonomous Center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OrderExecution / Demand / Material / Procurement / Shortage / Plan / Capacity / Production / Logistics / Delivery。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不得把研发 EBOM、销售商务、会计事实变成自身 Owner。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Delivery Lead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M07</w:t>
            </w:r>
          </w:p>
        </w:tc>
        <w:tc>
          <w:tcPr>
            <w:tcW w:type="dxa" w:w="243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人才与后勤服务中心（恒聘通）</w:t>
            </w:r>
          </w:p>
        </w:tc>
        <w:tc>
          <w:tcPr>
            <w:tcW w:type="dxa" w:w="255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Talent &amp; Support Service Center (Hengpintong)</w:t>
            </w:r>
          </w:p>
        </w:tc>
        <w:tc>
          <w:tcPr>
            <w:tcW w:type="dxa" w:w="141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4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Recruitment / Onboarding / Training / Attendance / Asset / Admin / IT Service / Support Request。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Organization / Position / Person 主数据属于 AEOS，共享引用，不由恒聘通成为第二 Owner。</w:t>
            </w:r>
          </w:p>
        </w:tc>
        <w:tc>
          <w:tcPr>
            <w:tcW w:type="dxa" w:w="192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Support Lead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M08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品控自治中心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Quality Autonomous Center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Incoming / Process / Final Inspection / Test / Nonconformity / CAPA / Complaint / ReleaseGate；也是重要 Guard 来源。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关键测试失败、重大风险、未关闭 CAPA 必须可阻断 Release / Shipment。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Quality Lead</w:t>
            </w:r>
          </w:p>
        </w:tc>
      </w:tr>
      <w:tr>
        <w:tc>
          <w:tcPr>
            <w:tcW w:type="dxa" w:w="73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M09</w:t>
            </w:r>
          </w:p>
        </w:tc>
        <w:tc>
          <w:tcPr>
            <w:tcW w:type="dxa" w:w="243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财经自治中心</w:t>
            </w:r>
          </w:p>
        </w:tc>
        <w:tc>
          <w:tcPr>
            <w:tcW w:type="dxa" w:w="255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Finance Autonomous Center</w:t>
            </w:r>
          </w:p>
        </w:tc>
        <w:tc>
          <w:tcPr>
            <w:tcW w:type="dxa" w:w="141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专业中心 6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Revenue / Cost / Margin / Cash / Budget / AR / AP / ROI / ValueBaseline / Attribution / Ledger。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不只做财务报表；必须解释经营影响及证据；EBMS 不得维护第二套财务事实。</w:t>
            </w:r>
          </w:p>
        </w:tc>
        <w:tc>
          <w:tcPr>
            <w:tcW w:type="dxa" w:w="192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Finance Lead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3"/>
              </w:rPr>
              <w:t>M10</w:t>
            </w:r>
          </w:p>
        </w:tc>
        <w:tc>
          <w:tcPr>
            <w:tcW w:type="dxa" w:w="243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POMS 岗位个人操作微系统</w:t>
            </w:r>
          </w:p>
        </w:tc>
        <w:tc>
          <w:tcPr>
            <w:tcW w:type="dxa" w:w="25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Personal Operations Micro System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执行者微系统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POMS Kernel / Role Template / RoleContext / Tasks / Skills / Tools / Personal Context；岗位界面聚焦 REPORT / TODO / AI Done / Evidence。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禁止一人一套代码；不得绕过权限、Guard、Evidence 和专业中心正式流程。</w:t>
            </w:r>
          </w:p>
        </w:tc>
        <w:tc>
          <w:tcPr>
            <w:tcW w:type="dxa" w:w="19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3"/>
              </w:rPr>
              <w:t>POMS Lead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4. 六大自治中心边界冻结矩阵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164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中心</w:t>
            </w:r>
          </w:p>
        </w:tc>
        <w:tc>
          <w:tcPr>
            <w:tcW w:type="dxa" w:w="272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唯一核心责任</w:t>
            </w:r>
          </w:p>
        </w:tc>
        <w:tc>
          <w:tcPr>
            <w:tcW w:type="dxa" w:w="425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主要对象/事实</w:t>
            </w:r>
          </w:p>
        </w:tc>
        <w:tc>
          <w:tcPr>
            <w:tcW w:type="dxa" w:w="3969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标准输出给 EBMS / AEOS</w:t>
            </w:r>
          </w:p>
        </w:tc>
        <w:tc>
          <w:tcPr>
            <w:tcW w:type="dxa" w:w="357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明确不拥有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M04 研发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产品与工程定义</w:t>
            </w:r>
          </w:p>
        </w:tc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Requirement / Drawing / Model / Validation / BOM / ECO / Release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Engineering Result / Readiness / Release Evidence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销售商务事实；交付执行事实；财务记账事实</w:t>
            </w:r>
          </w:p>
        </w:tc>
      </w:tr>
      <w:tr>
        <w:tc>
          <w:tcPr>
            <w:tcW w:type="dxa" w:w="164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M05 销售</w:t>
            </w:r>
          </w:p>
        </w:tc>
        <w:tc>
          <w:tcPr>
            <w:tcW w:type="dxa" w:w="272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客户与订单商务</w:t>
            </w:r>
          </w:p>
        </w:tc>
        <w:tc>
          <w:tcPr>
            <w:tcW w:type="dxa" w:w="425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Customer / Lead / Inquiry / Quote / Contract / OrderQuality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OrderQuality / CustomerValue / CommitmentRisk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生产排程；研发发布；财务记账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M06 交付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订单履约与供应生产</w:t>
            </w:r>
          </w:p>
        </w:tc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Demand / Material / PO / Plan / Capacity / Production / Shipment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ShortageRisk / SupplyRisk / ScheduleFeasibility / DeliveryForecast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研发 EBOM；销售商务；会计事实</w:t>
            </w:r>
          </w:p>
        </w:tc>
      </w:tr>
      <w:tr>
        <w:tc>
          <w:tcPr>
            <w:tcW w:type="dxa" w:w="164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M07 人才后勤</w:t>
            </w:r>
          </w:p>
        </w:tc>
        <w:tc>
          <w:tcPr>
            <w:tcW w:type="dxa" w:w="272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人才与企业服务</w:t>
            </w:r>
          </w:p>
        </w:tc>
        <w:tc>
          <w:tcPr>
            <w:tcW w:type="dxa" w:w="425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Recruitment / Training / Attendance / Asset / Admin / IT / Support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TalentGap / Recruitment / Training / Support SLA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Person / Org / Position 主数据 Owner</w:t>
            </w:r>
          </w:p>
        </w:tc>
      </w:tr>
      <w:tr>
        <w:tc>
          <w:tcPr>
            <w:tcW w:type="dxa" w:w="16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M08 品控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质量事实与放行 Guard</w:t>
            </w:r>
          </w:p>
        </w:tc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Inspection / Test / NC / CAPA / Complaint / ReleaseGate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Quality Result / Guard / CAPA / Evidence</w:t>
            </w:r>
          </w:p>
        </w:tc>
        <w:tc>
          <w:tcPr>
            <w:tcW w:type="dxa" w:w="35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研发设计 Owner；交付计划 Owner；财务事实 Owner</w:t>
            </w:r>
          </w:p>
        </w:tc>
      </w:tr>
      <w:tr>
        <w:tc>
          <w:tcPr>
            <w:tcW w:type="dxa" w:w="164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M09 财经</w:t>
            </w:r>
          </w:p>
        </w:tc>
        <w:tc>
          <w:tcPr>
            <w:tcW w:type="dxa" w:w="2721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统一经营价值与现金事实</w:t>
            </w:r>
          </w:p>
        </w:tc>
        <w:tc>
          <w:tcPr>
            <w:tcW w:type="dxa" w:w="425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Revenue / Cost / Margin / Cash / Budget / AR / AP / ROI / Value</w:t>
            </w:r>
          </w:p>
        </w:tc>
        <w:tc>
          <w:tcPr>
            <w:tcW w:type="dxa" w:w="3969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MarginImpact / CashImpact / BudgetImpact / Value Ledger</w:t>
            </w:r>
          </w:p>
        </w:tc>
        <w:tc>
          <w:tcPr>
            <w:tcW w:type="dxa" w:w="35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销售/交付/研发的专业执行 Owner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5. 一级边界不可随意变化规则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26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13323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冻结要求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BR-01 唯一归属</w:t>
            </w:r>
          </w:p>
        </w:tc>
        <w:tc>
          <w:tcPr>
            <w:tcW w:type="dxa" w:w="133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每个正式业务对象、业务事实、Capability、Agent/Skill、Result 必须有唯一一级模块归属与 Accountable Owner。</w:t>
            </w:r>
          </w:p>
        </w:tc>
      </w:tr>
      <w:tr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BR-02 禁止复制 Owner</w:t>
            </w:r>
          </w:p>
        </w:tc>
        <w:tc>
          <w:tcPr>
            <w:tcW w:type="dxa" w:w="13323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共享读取、缓存、视图可以存在，但不得形成第二正式事实 Owner。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BR-03 跨域只走契约</w:t>
            </w:r>
          </w:p>
        </w:tc>
        <w:tc>
          <w:tcPr>
            <w:tcW w:type="dxa" w:w="133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跨模块协同采用 Object ID + API/Event/Result/Evidence/Decision/Action Contract；禁止新增跨域 direct import、共享 JSON、直接跨域写表。</w:t>
            </w:r>
          </w:p>
        </w:tc>
      </w:tr>
      <w:tr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BR-04 EBMS 只做管理闭环</w:t>
            </w:r>
          </w:p>
        </w:tc>
        <w:tc>
          <w:tcPr>
            <w:tcW w:type="dxa" w:w="13323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EBMS 聚合专业 Result、异常、决策和证据；专业算法/事实由专业中心提供。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BR-05 共享平台最小化</w:t>
            </w:r>
          </w:p>
        </w:tc>
        <w:tc>
          <w:tcPr>
            <w:tcW w:type="dxa" w:w="133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Kernel/Data 平台只承载跨域共性能力；专业业务能力必须留在对应中心。</w:t>
            </w:r>
          </w:p>
        </w:tc>
      </w:tr>
      <w:tr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BR-06 变更受控</w:t>
            </w:r>
          </w:p>
        </w:tc>
        <w:tc>
          <w:tcPr>
            <w:tcW w:type="dxa" w:w="13323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一级系统/模块命名、Data Owner、核心契约变化属于 Architecture Change；涉及战略/商业/责任边界的变化需 Steering Committee。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6. 边界争议判定顺序</w:t>
      </w:r>
    </w:p>
    <w:p>
      <w:pPr>
        <w:spacing w:before="0" w:after="80" w:line="269" w:lineRule="auto"/>
      </w:pPr>
      <w:r>
        <w:rPr>
          <w:rFonts w:ascii="Arial" w:hAnsi="Arial" w:eastAsia="Microsoft YaHei"/>
          <w:b w:val="0"/>
          <w:color w:val="25324B"/>
          <w:sz w:val="17"/>
        </w:rPr>
        <w:t>新需求可能跨多个系统时，不以页面位置或当前代码位置判断，按以下顺序裁决：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85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顺序</w:t>
            </w:r>
          </w:p>
        </w:tc>
        <w:tc>
          <w:tcPr>
            <w:tcW w:type="dxa" w:w="26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判定维度</w:t>
            </w:r>
          </w:p>
        </w:tc>
        <w:tc>
          <w:tcPr>
            <w:tcW w:type="dxa" w:w="1247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问题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1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业务结果 Owner</w:t>
            </w:r>
          </w:p>
        </w:tc>
        <w:tc>
          <w:tcPr>
            <w:tcW w:type="dxa" w:w="12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谁对该业务结果最终负责？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2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正式事实 Owner</w:t>
            </w:r>
          </w:p>
        </w:tc>
        <w:tc>
          <w:tcPr>
            <w:tcW w:type="dxa" w:w="124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谁拥有该事实的正式定义、状态机和变更权？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3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专业独立性</w:t>
            </w:r>
          </w:p>
        </w:tc>
        <w:tc>
          <w:tcPr>
            <w:tcW w:type="dxa" w:w="12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哪个系统必须在其他系统不可用时仍能完成其专业职责？</w:t>
            </w:r>
          </w:p>
        </w:tc>
      </w:tr>
      <w:tr>
        <w:tc>
          <w:tcPr>
            <w:tcW w:type="dxa" w:w="85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4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契约最小化</w:t>
            </w:r>
          </w:p>
        </w:tc>
        <w:tc>
          <w:tcPr>
            <w:tcW w:type="dxa" w:w="12472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其他系统是否只需要 Result / Capability / Evidence，而不需要内部表结构？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5"/>
              </w:rPr>
              <w:t>5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架构裁决</w:t>
            </w:r>
          </w:p>
        </w:tc>
        <w:tc>
          <w:tcPr>
            <w:tcW w:type="dxa" w:w="124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5"/>
              </w:rPr>
              <w:t>仍有争议时由 Chief Architect 提交 Architecture Board；ADR 生效前不得新增耦合。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7. 一级系统关系与标准交互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94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关系</w:t>
            </w:r>
          </w:p>
        </w:tc>
        <w:tc>
          <w:tcPr>
            <w:tcW w:type="dxa" w:w="5386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标准契约</w:t>
            </w:r>
          </w:p>
        </w:tc>
        <w:tc>
          <w:tcPr>
            <w:tcW w:type="dxa" w:w="7654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边界解释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专业中心 → M02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Event / Business Object / Evidence / Result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形成统一事实、审计与证据链；不要求中心放弃自身专业业务逻辑。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专业中心 → M03 EBMS</w:t>
            </w:r>
          </w:p>
        </w:tc>
        <w:tc>
          <w:tcPr>
            <w:tcW w:type="dxa" w:w="5386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Result / Exception / Capability / Evidence Ref</w:t>
            </w:r>
          </w:p>
        </w:tc>
        <w:tc>
          <w:tcPr>
            <w:tcW w:type="dxa" w:w="765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EBMS 只消费标准输出，不直接拼接专业内部表。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M03 EBMS → M01 Kernel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DecisionCase / Decision / Action / Objective / Attention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把经营决策转成结构化行动并进入可验证闭环。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M01 Kernel → POMS</w:t>
            </w:r>
          </w:p>
        </w:tc>
        <w:tc>
          <w:tcPr>
            <w:tcW w:type="dxa" w:w="5386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RoleContext / Task / Action / Skill / Guard / Permission</w:t>
            </w:r>
          </w:p>
        </w:tc>
        <w:tc>
          <w:tcPr>
            <w:tcW w:type="dxa" w:w="765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把复杂系统能力按岗位、权限与上下文下发给执行者。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POMS → 专业中心</w:t>
            </w:r>
          </w:p>
        </w:tc>
        <w:tc>
          <w:tcPr>
            <w:tcW w:type="dxa" w:w="538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授权后的 Action / Tool Call / Evidence</w:t>
            </w:r>
          </w:p>
        </w:tc>
        <w:tc>
          <w:tcPr>
            <w:tcW w:type="dxa" w:w="765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岗位执行回到唯一专业系统，不在 POMS 复制业务事实。</w:t>
            </w:r>
          </w:p>
        </w:tc>
      </w:tr>
      <w:tr>
        <w:tc>
          <w:tcPr>
            <w:tcW w:type="dxa" w:w="294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M02 → M03/POMS</w:t>
            </w:r>
          </w:p>
        </w:tc>
        <w:tc>
          <w:tcPr>
            <w:tcW w:type="dxa" w:w="5386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Result / Evidence / Lineage / Confidence</w:t>
            </w:r>
          </w:p>
        </w:tc>
        <w:tc>
          <w:tcPr>
            <w:tcW w:type="dxa" w:w="7654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为管理与执行视图提供可追溯事实。</w:t>
            </w:r>
          </w:p>
        </w:tc>
      </w:tr>
    </w:tbl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8. P0-01 验收清单（Definition of Done）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24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检查 ID</w:t>
            </w:r>
          </w:p>
        </w:tc>
        <w:tc>
          <w:tcPr>
            <w:tcW w:type="dxa" w:w="2608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检查项</w:t>
            </w:r>
          </w:p>
        </w:tc>
        <w:tc>
          <w:tcPr>
            <w:tcW w:type="dxa" w:w="108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1020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SR-01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一级名称唯一</w:t>
            </w:r>
          </w:p>
        </w:tc>
        <w:tc>
          <w:tcPr>
            <w:tcW w:type="dxa" w:w="108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AEOS / 2 共享平台 / EBMS / 六中心 / POMS 均有唯一正式中英文名称和 ID。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SR-02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一级边界明确</w:t>
            </w:r>
          </w:p>
        </w:tc>
        <w:tc>
          <w:tcPr>
            <w:tcW w:type="dxa" w:w="10885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每个一级对象均定义 In-Scope / Out-of-Scope / Owner。</w:t>
            </w:r>
          </w:p>
        </w:tc>
        <w:tc>
          <w:tcPr>
            <w:tcW w:type="dxa" w:w="102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SR-03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EBMS 边界冻结</w:t>
            </w:r>
          </w:p>
        </w:tc>
        <w:tc>
          <w:tcPr>
            <w:tcW w:type="dxa" w:w="108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明确 EBMS 只做管理结果、异常、决策、证据；M03A 不升格为专业中心。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SR-04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六中心边界冻结</w:t>
            </w:r>
          </w:p>
        </w:tc>
        <w:tc>
          <w:tcPr>
            <w:tcW w:type="dxa" w:w="10885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研发/销售/交付/人才后勤/品控/财经专业事实不再被 EBMS 或其他中心重复拥有。</w:t>
            </w:r>
          </w:p>
        </w:tc>
        <w:tc>
          <w:tcPr>
            <w:tcW w:type="dxa" w:w="102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SR-05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共享平台边界冻结</w:t>
            </w:r>
          </w:p>
        </w:tc>
        <w:tc>
          <w:tcPr>
            <w:tcW w:type="dxa" w:w="108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Kernel 与 Data/Evidence 平台不吸收专业业务。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SR-06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POMS 模式冻结</w:t>
            </w:r>
          </w:p>
        </w:tc>
        <w:tc>
          <w:tcPr>
            <w:tcW w:type="dxa" w:w="10885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确认 1 Kernel + N Role Templates + Personal Context。</w:t>
            </w:r>
          </w:p>
        </w:tc>
        <w:tc>
          <w:tcPr>
            <w:tcW w:type="dxa" w:w="102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SR-07</w:t>
            </w:r>
          </w:p>
        </w:tc>
        <w:tc>
          <w:tcPr>
            <w:tcW w:type="dxa" w:w="26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变更机制确认</w:t>
            </w:r>
          </w:p>
        </w:tc>
        <w:tc>
          <w:tcPr>
            <w:tcW w:type="dxa" w:w="108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后续一级变更必须 Architecture Change + ADR；必要时 Steering Committee 批准。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  <w:tr>
        <w:tc>
          <w:tcPr>
            <w:tcW w:type="dxa" w:w="1247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SR-08</w:t>
            </w:r>
          </w:p>
        </w:tc>
        <w:tc>
          <w:tcPr>
            <w:tcW w:type="dxa" w:w="2608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签批完成</w:t>
            </w:r>
          </w:p>
        </w:tc>
        <w:tc>
          <w:tcPr>
            <w:tcW w:type="dxa" w:w="10885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Accountable 审批人、Chief Architect、Program Office 完成签批并记录生效日期。</w:t>
            </w:r>
          </w:p>
        </w:tc>
        <w:tc>
          <w:tcPr>
            <w:tcW w:type="dxa" w:w="1020"/>
            <w:shd w:fill="F7FAFC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</w:t>
            </w:r>
          </w:p>
        </w:tc>
      </w:tr>
    </w:tbl>
    <w:p>
      <w:pPr>
        <w:spacing w:before="100" w:after="80" w:line="269" w:lineRule="auto"/>
      </w:pPr>
      <w:r>
        <w:rPr>
          <w:rFonts w:ascii="Arial" w:hAnsi="Arial" w:eastAsia="Microsoft YaHei"/>
          <w:b/>
          <w:color w:val="1F4E79"/>
          <w:sz w:val="18"/>
        </w:rPr>
        <w:t>P0-01 完成后，才能把本 Registry 作为 P0-02 Current→Target 映射、P0-03 Data Ownership、P0-04 Object ID 与 P0-05 六类统一契约的唯一一级归属依据。</w:t>
      </w:r>
    </w:p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9. 签批与生效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38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姓名/签名</w:t>
            </w:r>
          </w:p>
        </w:tc>
        <w:tc>
          <w:tcPr>
            <w:tcW w:type="dxa" w:w="38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381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Program Sponsor / Steering Committee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 批准   □ 有条件批准   □ 退回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Chief Architect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 批准   □ 有条件批准   □ 退回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  <w:tr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/>
                <w:color w:val="1F2937"/>
                <w:sz w:val="16"/>
              </w:rPr>
              <w:t>AEOS Program Office / PMO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□ 批准   □ 有条件批准   □ 退回</w:t>
            </w:r>
          </w:p>
        </w:tc>
        <w:tc>
          <w:tcPr>
            <w:tcW w:type="dxa" w:w="38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6"/>
              </w:rPr>
            </w:r>
          </w:p>
        </w:tc>
      </w:tr>
    </w:tbl>
    <w:p>
      <w:pPr>
        <w:spacing w:before="0" w:after="80" w:line="269" w:lineRule="auto"/>
      </w:pPr>
      <w:r>
        <w:rPr>
          <w:rFonts w:ascii="Arial" w:hAnsi="Arial" w:eastAsia="Microsoft YaHei"/>
          <w:b w:val="0"/>
          <w:color w:val="595959"/>
          <w:sz w:val="17"/>
        </w:rPr>
        <w:t>生效条件：批准后由 Program Office 将状态由“待签批”改为“FROZEN / EFFECTIVE”，并把版本号、批准记录与 ADR/Change Log 纳入 Development Ledger。</w:t>
      </w:r>
    </w:p>
    <w:p>
      <w:pPr>
        <w:spacing w:before="160" w:after="80"/>
        <w:pBdr>
          <w:bottom w:val="single" w:sz="12" w:space="3" w:color="2F75B5"/>
        </w:pBdr>
      </w:pPr>
      <w:r>
        <w:rPr>
          <w:rFonts w:ascii="Arial" w:hAnsi="Arial" w:eastAsia="Microsoft YaHei"/>
          <w:b/>
          <w:color w:val="143D79"/>
          <w:sz w:val="30"/>
        </w:rPr>
        <w:t>10. 依据与一致性说明</w:t>
      </w:r>
    </w:p>
    <w:p>
      <w:pPr>
        <w:spacing w:before="0" w:after="80" w:line="269" w:lineRule="auto"/>
      </w:pPr>
      <w:r>
        <w:rPr>
          <w:rFonts w:ascii="Arial" w:hAnsi="Arial" w:eastAsia="Microsoft YaHei"/>
          <w:b w:val="0"/>
          <w:color w:val="25324B"/>
          <w:sz w:val="17"/>
        </w:rPr>
        <w:t>本 Registry 直接依据《AEOS V7.2 · 分模块分阶段具体执行方案》：P0-01 明确要求批准 AEOS/EBMS/六中心/POMS/两共享平台命名，并形成不可随意变化的一级边界；该方案同时给出了 M01-M10 的定位、核心交付和 No-Go 红线，以及版本/变更控制要求。本文件不新增第二套架构，只将这些内容整理为可签批、可执行、可用于后续映射与契约工作的“系统登记册”。</w:t>
      </w:r>
    </w:p>
    <w:p>
      <w:pPr>
        <w:spacing w:before="0" w:after="80" w:line="269" w:lineRule="auto"/>
      </w:pPr>
      <w:r>
        <w:rPr>
          <w:rFonts w:ascii="Arial" w:hAnsi="Arial" w:eastAsia="Microsoft YaHei"/>
          <w:b/>
          <w:color w:val="9C5700"/>
          <w:sz w:val="17"/>
        </w:rPr>
        <w:t>受控原则：若后续文件与本 Registry 的一级命名或边界冲突，应先走 Architecture Change，而不是在下位文档中静默修改。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7A7A7A"/>
        <w:sz w:val="14"/>
      </w:rPr>
      <w:t>宁波恒剑光电科技有限公司  |  AEOS Program Office  |  受控架构基线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/>
        <w:color w:val="6B7280"/>
        <w:sz w:val="15"/>
      </w:rPr>
      <w:t>AEOS V7.2  |  P0-01  |  SYSTEM REGISTRY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