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M03 EBMS 企业经营管理系统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AEOS 的经营结果、异常、决策、行动和管理工作面，消费各专业中心的 Result/Evidence，不复制专业主数据和专业算法。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将经营管理统一为 Result → Exception → Decision → Action → Result → Verification → Evidence，形成可执行、可复盘的经营闭环。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经营目标、经营指标、异常池、决策案例、行动项、升级和经营看板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跨专业结果汇总、偏差识别、管理层决策引用和行动督办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经营类 Exception、Decision、Action 的生命周期和验收引用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经营管理工作面、权限、通知、升级和责任分派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Sales、Delivery、Finance、Quality、R&amp;D 的专业事实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不直接 CRUD 业务域数据库，不复制各专业算法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AI 只做识别、建议和草案，不直接改变经营事实或执行不可逆动作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ManagementGoal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企业, 组织, 岗位, 项目目标和指标口径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 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Exception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异常、严重度、原因、证据、责任和期限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DecisionCase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待决策事项、选项、影响、依据和审批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行动、Owner、期限、状态、结果和验证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M03/执行中心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ManagementResult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经营结果、偏差、趋势、价值和证据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M03/M02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M02：消费 Result/Metric/Exception/Decision、Action/Evidence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M04–M11：提交专业结果、异常、行动回执和证据引用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M13/M14：消费 Agent/工程绩效和交付状态，不接管其事实 Owner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经营指标按组织、岗位、租户和敏感级别授权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资金、客户、价格、人员和生产影响的行动必须人审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管理看板只消费已验证 Result，展示层不能写回事实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所有 Decision、Action 必须记录建议来源、审批人、执行人和证据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建立经营 Exception/Decision、Action/Result 业务闭环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W21–W28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G5/G6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接入销售、交付、研发、财务和 Agent 绩效结果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开展经营数据隔离、权限、人工审批和异常升级测试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完成经营 KPI、运营移交和管理复制模板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至少一条经营异常从识别到 Decision、Action、Result、Verification、Evidence 闭环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EBMS 不直接读专业库、不复制专业算法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高风险经营动作有审批、责任人和证据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管理指标口径、来源、时间窗口和 Owner 清晰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AEOS_最终资料归档_20261014_V7.2.2/03_原始资料镜像/EBMS企业经营管理/EBMS_AEOS_V7.2_整改实施方案与12周行动计划_V1.0.docx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CAAD9FB4C62197399CB5BD1B6E0A2F4F796FABED954D3A494759566DE3880AB0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AEOS_最终资料归档_20261014_V7.2.2/03_原始资料镜像/EBMS企业经营管理/EBMS_AEOS_V7.2_核对评估报告_V1.0.docx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4B37002820BEA167DAACCABEBC655C9E18BDAFF87E09ED02C8BCDBD20D3D44E1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AEOS_最终资料归档_20261014_V7.2.2/02_标准与治理/本轮核查与更新候选/AEOS_V7.2_整体更新方案_M13_M14_V7.2.2.md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88733AEB764317596D097C822FC49C98450C7DA45EB40F6CE7BB079AFDD20B0D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EBMS 的实施验收必须采用当前 36 周 Gate；来源资料中的专业整改项需映射为 M03 的当前 Action/Result/Evidence。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