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M10 POMS 岗位与个人运营微系统 最新方案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0"/>
        </w:rPr>
        <w:t>AEOS V7.2.2 | 当前执行候选 | 9 个月 36 周 | 建议起始日 2026-10-19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岗位模板、个人上下文、待办、异常、结果和 Personal Agent 的个人操作工作面；不拥有业务主数据。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本方案以 AEOS 执行前评审总方案为当前基线。附件中的架构、边界、安全、Gate 和签批条件作为约束；待签批或待补证据内容继续保持对应状态。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一 当前目标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为每个人和 Agent 提供受岗位、目标、权限和业务上下文约束的操作入口，将 Todo、Exception、Past Result、Personal Agent 连接到专业中心和 M02。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二 Own 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ui_manifest、role_template_ref、personal_context、session_context、notification_state、local_pending_input、sync_state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岗位模板引用、个人工作面、待办、异常、通知、交互和个人结果引用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Personal Agent 装配入口、上下文切换和个人操作体验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POMS 与 M05/M07/M13 的个人工作关系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三 Must Not 边界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Customer、Order、Quote、Product、Finance、Quality 等专业对象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不拥有 Person/Org/Position 和 Permission/Policy/Guard 的权威事实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不把 ChatGPT 项目线索或 M05/M10 依赖文字当作 POMS V2.2 正式原件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四 核心对象与事实 Owner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对象域</w:t>
            </w:r>
          </w:p>
        </w:tc>
        <w:tc>
          <w:tcPr>
            <w:tcW w:type="dxa" w:w="86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定义</w:t>
            </w:r>
          </w:p>
        </w:tc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RoleTemplateRef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岗位能力、目标、权限和流程引用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 引用 M01/M07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PersonalContext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个人, Agent 当前上下文、目标、工作范围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Todo/Exception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未来待办、当前异常、期限、责任和升级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M10/M02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PastResult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过去结果的引用和证据链接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</w:tr>
      <w:tr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PersonalAgentSession</w:t>
            </w:r>
          </w:p>
        </w:tc>
        <w:tc>
          <w:tcPr>
            <w:tcW w:type="dxa" w:w="86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Personal Agent 会话、工具、权限和审计</w:t>
            </w:r>
          </w:p>
        </w:tc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M10/M13/M01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五 接口与协作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M01：读取岗位、组织、权限、Policy 和 Guard，不复制权威事实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M05/M07/M13：提供个人/Agent 工作面和任务上下文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M02：写入 Todo、Exception、Result、Evidence、Audit 的契约记录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M03：展示经营异常和行动，但不重复经营看板事实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六 安全控制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个人、岗位、绩效、会话和敏感上下文分级隔离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Personal Agent 工具白名单、会话预算、记忆隔离、敏感内容脱敏和人工接管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本地待同步输入需加密、过期、冲突解决和审计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不允许通过 UI 或 Prompt 绕过 M01 权限或直接写专业库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七 36 周落地安排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1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周期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Gate</w:t>
            </w:r>
          </w:p>
        </w:tc>
        <w:tc>
          <w:tcPr>
            <w:tcW w:type="dxa" w:w="96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当前必须完成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W25–W28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G6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 POMS 证据核验、RoleTemplate、PersonalContext、Todo/Exception/Result 最小闭环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W29–W32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G7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完成个人数据、会话、工具、记忆、同步和权限测试</w:t>
            </w:r>
          </w:p>
        </w:tc>
      </w:tr>
      <w:tr>
        <w:tc>
          <w:tcPr>
            <w:tcW w:type="dxa" w:w="201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W33–W36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G8</w:t>
            </w:r>
          </w:p>
        </w:tc>
        <w:tc>
          <w:tcPr>
            <w:tcW w:type="dxa" w:w="96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完成 POMS 运行手册、培训、验收和复制模板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八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POMS V2.2 具有具体文件、来源、版本、日期/状态、主格式和 SHA-256 后再进入正式矩阵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M10 不拥有专业业务主数据，所有业务动作仍通过专业中心和 M01/M02 契约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个人/Agent 操作面可关联 Todo、Exception、Result、Evidence 和权限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同步冲突、离线输入、撤权、会话终止和记忆隔离测试通过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九 当前来源与证据状态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3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来源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</w:t>
            </w:r>
          </w:p>
        </w:tc>
        <w:tc>
          <w:tcPr>
            <w:tcW w:type="dxa" w:w="388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SHA-256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AEOS_最终资料归档_20261014_V7.2.2/03_原始资料镜像/销售自治中心/AEOS_M05_M10_Agent_标准与总体方案_归档资料包_2026-10-10/M05_M10_边界规范_V1.0.md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EF33BC0A8ABB3777395F4CB0FCA18E022C083133E3D2FB6146B6B6E35C17A6DD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AEOS_最终资料归档_20261014_V7.2.2/03_原始资料镜像/销售自治中心/AEOS_M05_M10_Agent_标准与总体方案_归档资料包_2026-10-10/AEOS_M05_M10_Agent_总体方案_V2.0.md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B52812BDFBEACB922E63D5EACC12AAE04883BEEC54050985CF11CDAD8D101DDB</w:t>
            </w:r>
          </w:p>
        </w:tc>
      </w:tr>
      <w:tr>
        <w:tc>
          <w:tcPr>
            <w:tcW w:type="dxa" w:w="83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AEOS_最终资料归档_20261014_V7.2.2/02_标准与治理/本轮核查与更新候选/POMS_V2.2_来源核验与待加载记录_V1.1.md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AVAILABLE / HASHED</w:t>
            </w:r>
          </w:p>
        </w:tc>
        <w:tc>
          <w:tcPr>
            <w:tcW w:type="dxa" w:w="388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6AA46B680B384F38F9D73CB46CB0C7A0D7A219340FBA8935C5E8677F4B64B3A2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POMS V2.2 当前为 PROVISIONAL / EVIDENCE-PENDING；具体文件、来源、版本和 SHA-256 未补齐前只能作为依赖候选。 对应正式文件仍须按 System Registry V1.3 候选字段登记。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十 模块签批条件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M10 Owner 确认 Own 与 Must Not 边界。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M01/M02/M12/M13/M14 相关接口、权限、证据和安全条件已登记。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模块关键对象、Result、Evidence、验收人和回滚路径可定位。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模块 Gate 交付物、风险、责任人和截止时间已进入 36 周台账。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color w:val="000000"/>
          <w:sz w:val="20"/>
        </w:rPr>
        <w:t>来源、版本、状态和 SHA-256 已登记；待补项明确保持 EVIDENCE-PENDING。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命名与对象代码冻结候选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本附录把 M00–M14 的系统代码、正式名称、ID 命名、Owner 字段和核心闭环作为统一候选规范，适用于本合订版内所有模块。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module_id</w:t>
            </w:r>
          </w:p>
        </w:tc>
        <w:tc>
          <w:tcPr>
            <w:tcW w:type="dxa" w:w="14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system_code</w:t>
            </w:r>
          </w:p>
        </w:tc>
        <w:tc>
          <w:tcPr>
            <w:tcW w:type="dxa" w:w="374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</w:t>
            </w:r>
          </w:p>
        </w:tc>
        <w:tc>
          <w:tcPr>
            <w:tcW w:type="dxa" w:w="4896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system_name_en</w:t>
            </w:r>
          </w:p>
        </w:tc>
        <w:tc>
          <w:tcPr>
            <w:tcW w:type="dxa" w:w="2448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status</w:t>
            </w:r>
          </w:p>
        </w:tc>
        <w:trPr>
          <w:tblHeader/>
        </w:trPr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GOV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治理与总体架构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Governance &amp; Architecture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Kernel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核心内核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Kernel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EDP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企业数据与证据平台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Data &amp; Evidence Platform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EBMS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企业经营管理系统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Enterprise Business Management 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RDC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R&amp;D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M05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CRM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销售自治中心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Sales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M06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SPC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交付自治中心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Delivery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M07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HLC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人力后勤自治中心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Human &amp; Logistics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M08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质量自治中心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Quality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M09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财经自治中心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Finance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M10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POMS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岗位与个人运营微系统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Role &amp; Personal Operations Micro-system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M11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IHC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集成与智能硬件接入中心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Integration &amp; Intelligent Hardware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M12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DSO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 与可观测性质量中心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DevSecOps, Observability &amp; Quality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M13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Hub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智能体员工自治管理中心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AEOS Agent Workforce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M14</w:t>
            </w:r>
          </w:p>
        </w:tc>
        <w:tc>
          <w:tcPr>
            <w:tcW w:type="dxa" w:w="144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</w:t>
            </w:r>
          </w:p>
        </w:tc>
        <w:tc>
          <w:tcPr>
            <w:tcW w:type="dxa" w:w="374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系统研发自治中心</w:t>
            </w:r>
          </w:p>
        </w:tc>
        <w:tc>
          <w:tcPr>
            <w:tcW w:type="dxa" w:w="4896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NOMI System Development Autonomous Center</w:t>
            </w:r>
          </w:p>
        </w:tc>
        <w:tc>
          <w:tcPr>
            <w:tcW w:type="dxa" w:w="2448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CANDIDATE / NOT FROZEN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统一 ID 与 Owner 字段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1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字段</w:t>
            </w:r>
          </w:p>
        </w:tc>
        <w:tc>
          <w:tcPr>
            <w:tcW w:type="dxa" w:w="2304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语义</w:t>
            </w:r>
          </w:p>
        </w:tc>
        <w:tc>
          <w:tcPr>
            <w:tcW w:type="dxa" w:w="288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Owner</w:t>
            </w:r>
          </w:p>
        </w:tc>
        <w:tc>
          <w:tcPr>
            <w:tcW w:type="dxa" w:w="576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要求</w:t>
            </w:r>
          </w:p>
        </w:tc>
        <w:trPr>
          <w:tblHeader/>
        </w:trPr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tenant_id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租户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所有跨租户对象和事件的隔离边界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系统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M00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System Registry 的系统唯一标识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Object/BusinessObject 的通用唯一标识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事件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状态变化、来源、主体和时间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goal_id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目标和指标关联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decision_id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M03/业务中心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决策案例和审批关联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action_id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专业中心/M03/M14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行动、执行、回执和升级关联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result_id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可验证业务或工程结果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verification_id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验证动作和验证结论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evidence_id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文件、测试、审批、回执、来源和哈希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trace_id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链路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M02/M12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跨服务、跨模块和跨 Agent 追踪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person_id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人员身份引用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org_id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position_id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岗位身份引用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Agent 身份引用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team_id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团队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M01/M13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组织或 Agent Team 引用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task_id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专业中心/M14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业务任务或工程任务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fact_owner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对一个关键 Object/Result 只能有一个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负责事实定义、专业结果和最终事实责任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record_owner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记录 Owner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通常为 M02 或产生记录的域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负责记录、证据、审计和留存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processor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处理者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执行计算、转换或动作的服务/Agent/人员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不自动获得事实 Owner 权限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consumer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消费者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读取或引用结果的模块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只能按契约消费，不复制事实</w:t>
            </w:r>
          </w:p>
        </w:tc>
      </w:tr>
      <w:tr>
        <w:tc>
          <w:tcPr>
            <w:tcW w:type="dxa" w:w="21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verifier</w:t>
            </w:r>
          </w:p>
        </w:tc>
        <w:tc>
          <w:tcPr>
            <w:tcW w:type="dxa" w:w="2304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验证者</w:t>
            </w:r>
          </w:p>
        </w:tc>
        <w:tc>
          <w:tcPr>
            <w:tcW w:type="dxa" w:w="288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负责验证结果的人或岗位</w:t>
            </w:r>
          </w:p>
        </w:tc>
        <w:tc>
          <w:tcPr>
            <w:tcW w:type="dxa" w:w="5760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对 Verification 结论负责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</w:pPr>
      <w:r>
        <w:rPr>
          <w:rFonts w:ascii="Microsoft YaHei" w:hAnsi="Microsoft YaHei" w:eastAsia="Microsoft YaHei"/>
          <w:b w:val="0"/>
          <w:color w:val="000000"/>
          <w:sz w:val="20"/>
        </w:rPr>
        <w:t>AEOS 核心闭环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Object → Event → Exception（可选）→ Decision（可选）→ Action → Result → Verification → Evidence → Value → Learning。Fact 是 Object 当前被验证的事实状态，不是独立流程节点。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对象实体统一使用 Verification；动作统一使用 verify。数据库、Event 和内部 API 使用 snake_case；ViewModel 的 camelCase 必须由 Adapter 转换。</w:t>
      </w:r>
    </w:p>
    <w:sectPr w:rsidR="00FC693F" w:rsidRPr="0006063C" w:rsidSect="00034616">
      <w:footerReference w:type="default" r:id="rId9"/>
      <w:pgSz w:w="15840" w:h="12240" w:orient="landscape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20"/>
      </w:rPr>
      <w:t>AEOS 最终资料归档 | V7.2.2 | 2026-10-14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