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b w:val="0"/>
          <w:color w:val="000000"/>
          <w:sz w:val="20"/>
        </w:rPr>
        <w:t>M12 DSO DevSecOps 与可观测性质量中心 最新方案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000000"/>
          <w:sz w:val="20"/>
        </w:rPr>
        <w:t>AEOS V7.2.2 | 当前执行候选 | 9 个月 36 周 | 建议起始日 2026-10-19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AEOS 的工程基础设施、安全扫描、测试、质量、构建、制品、发布、观测、告警和恢复门禁中心。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本方案以 AEOS 执行前评审总方案为当前基线。附件中的架构、边界、安全、Gate 和签批条件作为约束；待签批或待补证据内容继续保持对应状态。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一 当前目标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让 M14 和所有模块的代码、依赖、制品、部署、运行、告警和回滚具备可追溯、可阻断和可恢复能力。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二 Own 范围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CI/CD、分支保护、PR、SAST、SCA、Secret Scan、容器/IaC 扫描、SBOM 和制品签名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测试、质量门禁、环境、配置、部署、观测、告警、日志和 Trace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发布审批、变更审计、回滚、备份恢复和事件响应基础设施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工程安全策略、门禁规则、运行可靠性、容量和成本监控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三 Must Not 边界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不拥有 M14 的研发管理业务对象和 M04 的研发专业事实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不以扫描通过替代业务、现场、法规或专业 Owner 验收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不允许生产变更、凭证或制品绕过发布门禁和审计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四 核心对象与事实 Owner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rPr>
          <w:tblHeader w:val="true"/>
        </w:trPr>
        <w:tc>
          <w:tcPr>
            <w:tcW w:type="dxa" w:w="2448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对象域</w:t>
            </w:r>
          </w:p>
        </w:tc>
        <w:tc>
          <w:tcPr>
            <w:tcW w:type="dxa" w:w="8640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定义</w:t>
            </w:r>
          </w:p>
        </w:tc>
        <w:tc>
          <w:tcPr>
            <w:tcW w:type="dxa" w:w="2016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Owner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Pipeline、Build</w:t>
            </w:r>
          </w:p>
        </w:tc>
        <w:tc>
          <w:tcPr>
            <w:tcW w:type="dxa" w:w="86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流水线、构建、输入、环境、状态和日志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M12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Test/Scan</w:t>
            </w:r>
          </w:p>
        </w:tc>
        <w:tc>
          <w:tcPr>
            <w:tcW w:type="dxa" w:w="86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测试、漏洞、质量、扫描规则、结果和例外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M12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SBOM/Artifact</w:t>
            </w:r>
          </w:p>
        </w:tc>
        <w:tc>
          <w:tcPr>
            <w:tcW w:type="dxa" w:w="86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依赖、制品、签名、来源、哈希和证明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M12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Release/Deploy/Rollback</w:t>
            </w:r>
          </w:p>
        </w:tc>
        <w:tc>
          <w:tcPr>
            <w:tcW w:type="dxa" w:w="86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发布、部署、环境、审批、回滚和恢复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M12/M14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Observability/Incident</w:t>
            </w:r>
          </w:p>
        </w:tc>
        <w:tc>
          <w:tcPr>
            <w:tcW w:type="dxa" w:w="86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日志、指标、Trace、告警、事件和响应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M12</w:t>
            </w:r>
          </w:p>
        </w:tc>
      </w:tr>
    </w:tbl>
    <w:p>
      <w:pPr>
        <w:spacing w:after="40"/>
      </w:pP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五 接口与协作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M14：接收系统研发任务，返回 Build/Test/Release/Deploy/Rollback 状态和证据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M01：服务身份、环境权限、审批和撤权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M02：写入工程 Evidence、Audit、Trace、Result 和风险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M13：记录 Agent 运行资源、成本、失败、质量和熔断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六 安全控制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构建环境隔离、最小权限、短时凭证、不可变制品和签名验证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Critical 漏洞、密钥泄露、未签名制品、来源不明和质量门禁失败阻断发布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运行环境非 root、只读文件系统、资源配额、网络分段和出网控制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备份恢复、日志保全、事件隔离、凭证撤销和人工降级可执行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七 36 周落地安排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rPr>
          <w:tblHeader w:val="true"/>
        </w:trPr>
        <w:tc>
          <w:tcPr>
            <w:tcW w:type="dxa" w:w="2016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周期</w:t>
            </w:r>
          </w:p>
        </w:tc>
        <w:tc>
          <w:tcPr>
            <w:tcW w:type="dxa" w:w="1440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Gate</w:t>
            </w:r>
          </w:p>
        </w:tc>
        <w:tc>
          <w:tcPr>
            <w:tcW w:type="dxa" w:w="9648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当前必须完成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W13–W16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G3</w:t>
            </w:r>
          </w:p>
        </w:tc>
        <w:tc>
          <w:tcPr>
            <w:tcW w:type="dxa" w:w="96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接入 CI/CD、扫描、测试、观测、审计和发布门禁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W17–W28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G4–G6</w:t>
            </w:r>
          </w:p>
        </w:tc>
        <w:tc>
          <w:tcPr>
            <w:tcW w:type="dxa" w:w="96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为 M03–M11、M13、M14 提供可复用工程安全能力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W29–W32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G7</w:t>
            </w:r>
          </w:p>
        </w:tc>
        <w:tc>
          <w:tcPr>
            <w:tcW w:type="dxa" w:w="96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完成供应链、红队、灾备、恢复、人工接管和回滚演练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W33–W36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G8</w:t>
            </w:r>
          </w:p>
        </w:tc>
        <w:tc>
          <w:tcPr>
            <w:tcW w:type="dxa" w:w="96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完成运营值班、告警、容量、成本和发布移交</w:t>
            </w:r>
          </w:p>
        </w:tc>
      </w:tr>
    </w:tbl>
    <w:p>
      <w:pPr>
        <w:spacing w:after="40"/>
      </w:pP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八 验收标准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所有生产制品具有 SBOM、签名、来源、构建和部署证据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Critical=0；High 已关闭或完成授权风险接受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发布、回滚、备份恢复、凭证撤销和事件响应演练通过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M14 无法绕过 M12 的扫描、质量、发布和审计门禁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九 当前来源与证据状态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rPr>
          <w:tblHeader w:val="true"/>
        </w:trPr>
        <w:tc>
          <w:tcPr>
            <w:tcW w:type="dxa" w:w="8352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来源</w:t>
            </w:r>
          </w:p>
        </w:tc>
        <w:tc>
          <w:tcPr>
            <w:tcW w:type="dxa" w:w="2448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状态</w:t>
            </w:r>
          </w:p>
        </w:tc>
        <w:tc>
          <w:tcPr>
            <w:tcW w:type="dxa" w:w="3888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SHA-256</w:t>
            </w:r>
          </w:p>
        </w:tc>
      </w:tr>
      <w:tr>
        <w:tc>
          <w:tcPr>
            <w:tcW w:type="dxa" w:w="83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AEOS_最终资料归档_20261014_V7.2.2/03_原始资料镜像/AEOS_V7.2_完整总体方案与开发治理基线.docx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AVAILABLE / HASHED</w:t>
            </w:r>
          </w:p>
        </w:tc>
        <w:tc>
          <w:tcPr>
            <w:tcW w:type="dxa" w:w="388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5BA7718C8FDF915DE46B6935220C0B39AFBD720AC2351130EC5368EB6ACFC015</w:t>
            </w:r>
          </w:p>
        </w:tc>
      </w:tr>
      <w:tr>
        <w:tc>
          <w:tcPr>
            <w:tcW w:type="dxa" w:w="83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AEOS_执行前评审方案_20261014_V7.2.2/01_执行前评审总方案/AEOS_V7.2.2_执行前评审总方案.docx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AVAILABLE / HASHED</w:t>
            </w:r>
          </w:p>
        </w:tc>
        <w:tc>
          <w:tcPr>
            <w:tcW w:type="dxa" w:w="388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9463B9DB83BF01437A782F4DC4F5F56511C577645C9102F14180AC9A379A3549</w:t>
            </w:r>
          </w:p>
        </w:tc>
      </w:tr>
      <w:tr>
        <w:tc>
          <w:tcPr>
            <w:tcW w:type="dxa" w:w="83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AEOS_团队执行资料包_20261014_V7.2.2/02_执行台账与模板/04_Gate与安全门禁检查表.md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AVAILABLE / HASHED</w:t>
            </w:r>
          </w:p>
        </w:tc>
        <w:tc>
          <w:tcPr>
            <w:tcW w:type="dxa" w:w="388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2C0B771D3EF3A80F63BC4246734E9C95E5EC8C4DDF86F71FFE7FD17F9FB22D9F</w:t>
            </w:r>
          </w:p>
        </w:tc>
      </w:tr>
    </w:tbl>
    <w:p>
      <w:pPr>
        <w:spacing w:after="40"/>
      </w:pP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M12 的当前基线由总体开发治理与执行前安全门禁组成；实施前需要指定 M12 Owner 并锁定工具链、环境和发布证据格式。 对应正式文件仍须按 System Registry V1.3 候选字段登记。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十 模块签批条件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M12 Owner 确认 Own 与 Must Not 边界。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M01/M02/M12/M13/M14 相关接口、权限、证据和安全条件已登记。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模块关键对象、Result、Evidence、验收人和回滚路径可定位。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模块 Gate 交付物、风险、责任人和截止时间已进入 36 周台账。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来源、版本、状态和 SHA-256 已登记；待补项明确保持 EVIDENCE-PENDING。</w:t>
      </w:r>
    </w:p>
    <w:p>
      <w:r>
        <w:rPr>
          <w:rFonts w:ascii="Microsoft YaHei" w:hAnsi="Microsoft YaHei" w:eastAsia="Microsoft YaHei"/>
          <w:b w:val="0"/>
          <w:color w:val="000000"/>
          <w:sz w:val="20"/>
        </w:rPr>
        <w:br w:type="page"/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命名与对象代码冻结候选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本附录把 M00–M14 的系统代码、正式名称、ID 命名、Owner 字段和核心闭环作为统一候选规范，适用于本合订版内所有模块。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c>
          <w:tcPr>
            <w:tcW w:type="dxa" w:w="1152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module_id</w:t>
            </w:r>
          </w:p>
        </w:tc>
        <w:tc>
          <w:tcPr>
            <w:tcW w:type="dxa" w:w="1440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system_code</w:t>
            </w:r>
          </w:p>
        </w:tc>
        <w:tc>
          <w:tcPr>
            <w:tcW w:type="dxa" w:w="3744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system_name</w:t>
            </w:r>
          </w:p>
        </w:tc>
        <w:tc>
          <w:tcPr>
            <w:tcW w:type="dxa" w:w="4896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system_name_en</w:t>
            </w:r>
          </w:p>
        </w:tc>
        <w:tc>
          <w:tcPr>
            <w:tcW w:type="dxa" w:w="2448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status</w:t>
            </w:r>
          </w:p>
        </w:tc>
        <w:trPr>
          <w:tblHeader/>
        </w:trPr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M00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GOV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AEOS 治理与总体架构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AEOS Governance &amp; Architecture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M01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Kernel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AEOS 核心内核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AEOS Kernel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M02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EDP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企业数据与证据平台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Enterprise Data &amp; Evidence Platform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M03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EBMS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企业经营管理系统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Enterprise Business Management System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M04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RDC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研发自治中心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R&amp;D Autonomous Center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M05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CRM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销售自治中心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Sales Autonomous Center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M06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SPC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交付自治中心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Delivery Autonomous Center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M07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HLC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人力后勤自治中心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Human &amp; Logistics Center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M08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QAC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质量自治中心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Quality Autonomous Center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M09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FAC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财经自治中心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Finance Autonomous Center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M10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POMS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岗位与个人运营微系统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Role &amp; Personal Operations Micro-system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M11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IHC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集成与智能硬件接入中心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Integration &amp; Intelligent Hardware Center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M12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DSO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DevSecOps 与可观测性质量中心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DevSecOps, Observability &amp; Quality Center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M13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Hub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智能体员工自治管理中心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AEOS Agent Workforce Center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M14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NOMI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系统研发自治中心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NOMI System Development Autonomous Center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</w:tbl>
    <w:p>
      <w:pPr>
        <w:spacing w:after="40"/>
      </w:pPr>
    </w:p>
    <w:p>
      <w:pPr>
        <w:pStyle w:val="Heading2"/>
        <w:spacing w:before="12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统一 ID 与 Owner 字段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2160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字段</w:t>
            </w:r>
          </w:p>
        </w:tc>
        <w:tc>
          <w:tcPr>
            <w:tcW w:type="dxa" w:w="2304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语义</w:t>
            </w:r>
          </w:p>
        </w:tc>
        <w:tc>
          <w:tcPr>
            <w:tcW w:type="dxa" w:w="2880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Owner</w:t>
            </w:r>
          </w:p>
        </w:tc>
        <w:tc>
          <w:tcPr>
            <w:tcW w:type="dxa" w:w="5760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要求</w:t>
            </w:r>
          </w:p>
        </w:tc>
        <w:trPr>
          <w:tblHeader/>
        </w:trPr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tenant_id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租户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M01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所有跨租户对象和事件的隔离边界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system_id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系统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M00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System Registry 的系统唯一标识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object_id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对象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M02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Object/BusinessObject 的通用唯一标识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event_id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事件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M02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状态变化、来源、主体和时间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goal_id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目标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M03/业务中心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目标和指标关联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decision_id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决策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M03/业务中心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决策案例和审批关联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action_id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行动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专业中心/M03/M14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行动、执行、回执和升级关联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result_id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结果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专业中心/M02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可验证业务或工程结果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verification_id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验证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专业中心/M02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验证动作和验证结论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evidence_id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证据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M02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文件、测试、审批、回执、来源和哈希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trace_id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链路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M02/M12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跨服务、跨模块和跨 Agent 追踪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person_id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人员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M01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人员身份引用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org_id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组织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M01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组织身份引用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position_id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岗位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M01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岗位身份引用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agent_id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智能体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M01/M13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Agent 身份引用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team_id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团队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M01/M13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组织或 Agent Team 引用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task_id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任务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专业中心/M14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业务任务或工程任务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fact_owner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事实 Owner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对一个关键 Object/Result 只能有一个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负责事实定义、专业结果和最终事实责任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record_owner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记录 Owner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通常为 M02 或产生记录的域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负责记录、证据、审计和留存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processor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处理者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执行计算、转换或动作的服务/Agent/人员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不自动获得事实 Owner 权限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consumer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消费者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读取或引用结果的模块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只能按契约消费，不复制事实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verifier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验证者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负责验证结果的人或岗位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对 Verification 结论负责</w:t>
            </w:r>
          </w:p>
        </w:tc>
      </w:tr>
    </w:tbl>
    <w:p>
      <w:pPr>
        <w:spacing w:after="40"/>
      </w:pPr>
    </w:p>
    <w:p>
      <w:pPr>
        <w:pStyle w:val="Heading2"/>
        <w:spacing w:before="12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AEOS 核心闭环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Object → Event → Exception（可选）→ Decision（可选）→ Action → Result → Verification → Evidence → Value → Learning。Fact 是 Object 当前被验证的事实状态，不是独立流程节点。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对象实体统一使用 Verification；动作统一使用 verify。数据库、Event 和内部 API 使用 snake_case；ViewModel 的 camelCase 必须由 Adapter 转换。</w:t>
      </w:r>
    </w:p>
    <w:sectPr w:rsidR="00FC693F" w:rsidRPr="0006063C" w:rsidSect="00034616">
      <w:footerReference w:type="default" r:id="rId9"/>
      <w:pgSz w:w="15840" w:h="12240" w:orient="landscape"/>
      <w:pgMar w:top="936" w:right="792" w:bottom="936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000000"/>
        <w:sz w:val="20"/>
      </w:rPr>
      <w:t>AEOS 最终资料归档 | V7.2.2 | 2026-10-14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