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Microsoft YaHei" w:hAnsi="Microsoft YaHei" w:eastAsia="Microsoft YaHei"/>
          <w:b w:val="0"/>
          <w:color w:val="000000"/>
          <w:sz w:val="20"/>
        </w:rPr>
        <w:t>M13 Hub 智能体员工自治管理中心 最新方案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000000"/>
          <w:sz w:val="20"/>
        </w:rPr>
        <w:t>AEOS V7.2.2 | 当前执行候选 | 9 个月 36 周 | 建议起始日 2026-10-19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面向 Agent 员工/Agent Workforce 的自治管理平台，类似人员管理平台，负责 Agent 的组织、岗位、能力、生命周期、运行、工作量、SLA、绩效、成本和退出。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本方案以 AEOS 执行前评审总方案为当前基线。附件中的架构、边界、安全、Gate 和签批条件作为约束；待签批或待补证据内容继续保持对应状态。</w:t>
      </w:r>
    </w:p>
    <w:p>
      <w:pPr>
        <w:pStyle w:val="Heading1"/>
        <w:spacing w:before="200" w:after="80"/>
      </w:pPr>
      <w:r>
        <w:rPr>
          <w:rFonts w:ascii="Microsoft YaHei" w:hAnsi="Microsoft YaHei" w:eastAsia="Microsoft YaHei"/>
          <w:b w:val="0"/>
          <w:color w:val="000000"/>
          <w:sz w:val="20"/>
        </w:rPr>
        <w:t>一 当前目标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建立 Agent 从登记、岗位绑定、配置、训练/评测、启用、排班、运行、暂停、转岗、降权、人工接管到退出的完整管理闭环。</w:t>
      </w:r>
    </w:p>
    <w:p>
      <w:pPr>
        <w:pStyle w:val="Heading1"/>
        <w:spacing w:before="200" w:after="80"/>
      </w:pPr>
      <w:r>
        <w:rPr>
          <w:rFonts w:ascii="Microsoft YaHei" w:hAnsi="Microsoft YaHei" w:eastAsia="Microsoft YaHei"/>
          <w:b w:val="0"/>
          <w:color w:val="000000"/>
          <w:sz w:val="20"/>
        </w:rPr>
        <w:t>二 Own 范围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Agent 员工档案、agent_id、岗位绑定、团队关系、Skill/Model/Prompt/Tool 版本引用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Lead Agent、Specialist Agent、Agent Team、工作负载、任务分派和排班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Runtime、Workload、SLA、失败、重试、熔断、绩效、质量、成本和版本评测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Agent 在 M03–M10、M14 中的投影、入口、生命周期和控制记录</w:t>
      </w:r>
    </w:p>
    <w:p>
      <w:pPr>
        <w:pStyle w:val="Heading1"/>
        <w:spacing w:before="200" w:after="80"/>
      </w:pPr>
      <w:r>
        <w:rPr>
          <w:rFonts w:ascii="Microsoft YaHei" w:hAnsi="Microsoft YaHei" w:eastAsia="Microsoft YaHei"/>
          <w:b w:val="0"/>
          <w:color w:val="000000"/>
          <w:sz w:val="20"/>
        </w:rPr>
        <w:t>三 Must Not 边界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不取代 M01 的 Person/Org/Position、Permission、Policy 和 Guard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不取代 M02 的 Object/Event/Result/Evidence/Audit 权威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不成为业务对象、业务结果或系统研发成果的 Owner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不让 Agent 绕过授权、审批、Guard、M12 门禁或人工接管</w:t>
      </w:r>
    </w:p>
    <w:p>
      <w:pPr>
        <w:pStyle w:val="Heading1"/>
        <w:spacing w:before="200" w:after="80"/>
      </w:pPr>
      <w:r>
        <w:rPr>
          <w:rFonts w:ascii="Microsoft YaHei" w:hAnsi="Microsoft YaHei" w:eastAsia="Microsoft YaHei"/>
          <w:b w:val="0"/>
          <w:color w:val="000000"/>
          <w:sz w:val="20"/>
        </w:rPr>
        <w:t>四 核心对象与事实 Owner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52"/>
        <w:gridCol w:w="4752"/>
        <w:gridCol w:w="4752"/>
      </w:tblGrid>
      <w:tr>
        <w:trPr>
          <w:tblHeader w:val="true"/>
        </w:trPr>
        <w:tc>
          <w:tcPr>
            <w:tcW w:type="dxa" w:w="2448"/>
            <w:shd w:fill="D9EAF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对象域</w:t>
            </w:r>
          </w:p>
        </w:tc>
        <w:tc>
          <w:tcPr>
            <w:tcW w:type="dxa" w:w="8640"/>
            <w:shd w:fill="D9EAF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定义</w:t>
            </w:r>
          </w:p>
        </w:tc>
        <w:tc>
          <w:tcPr>
            <w:tcW w:type="dxa" w:w="2016"/>
            <w:shd w:fill="D9EAF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Owner</w:t>
            </w:r>
          </w:p>
        </w:tc>
      </w:tr>
      <w:tr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AgentRegistry</w:t>
            </w:r>
          </w:p>
        </w:tc>
        <w:tc>
          <w:tcPr>
            <w:tcW w:type="dxa" w:w="86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agent_id、角色、岗位、技能、模型、Prompt、Tool、版本、Owner、状态</w:t>
            </w:r>
          </w:p>
        </w:tc>
        <w:tc>
          <w:tcPr>
            <w:tcW w:type="dxa" w:w="201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M13/M01</w:t>
            </w:r>
          </w:p>
        </w:tc>
      </w:tr>
      <w:tr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WorkforcePosition/Team</w:t>
            </w:r>
          </w:p>
        </w:tc>
        <w:tc>
          <w:tcPr>
            <w:tcW w:type="dxa" w:w="86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岗位、团队、Lead, Specialist、能力、范围和成本中心</w:t>
            </w:r>
          </w:p>
        </w:tc>
        <w:tc>
          <w:tcPr>
            <w:tcW w:type="dxa" w:w="201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M13/M01</w:t>
            </w:r>
          </w:p>
        </w:tc>
      </w:tr>
      <w:tr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AgentLifecycle</w:t>
            </w:r>
          </w:p>
        </w:tc>
        <w:tc>
          <w:tcPr>
            <w:tcW w:type="dxa" w:w="86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配置、训练、启用、暂停、转岗、降权、退休、退出</w:t>
            </w:r>
          </w:p>
        </w:tc>
        <w:tc>
          <w:tcPr>
            <w:tcW w:type="dxa" w:w="201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M13</w:t>
            </w:r>
          </w:p>
        </w:tc>
      </w:tr>
      <w:tr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Runtime/Workload/SLA</w:t>
            </w:r>
          </w:p>
        </w:tc>
        <w:tc>
          <w:tcPr>
            <w:tcW w:type="dxa" w:w="86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运行、队列、并发、失败、重试、预算、时效和资源</w:t>
            </w:r>
          </w:p>
        </w:tc>
        <w:tc>
          <w:tcPr>
            <w:tcW w:type="dxa" w:w="201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M13/M12</w:t>
            </w:r>
          </w:p>
        </w:tc>
      </w:tr>
      <w:tr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Performance/Cost/Exit</w:t>
            </w:r>
          </w:p>
        </w:tc>
        <w:tc>
          <w:tcPr>
            <w:tcW w:type="dxa" w:w="86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质量、绩效、成本、熔断、人工接管和退出证据</w:t>
            </w:r>
          </w:p>
        </w:tc>
        <w:tc>
          <w:tcPr>
            <w:tcW w:type="dxa" w:w="201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M13/M02</w:t>
            </w:r>
          </w:p>
        </w:tc>
      </w:tr>
    </w:tbl>
    <w:p>
      <w:pPr>
        <w:spacing w:after="40"/>
      </w:pPr>
    </w:p>
    <w:p>
      <w:pPr>
        <w:pStyle w:val="Heading1"/>
        <w:spacing w:before="200" w:after="80"/>
      </w:pPr>
      <w:r>
        <w:rPr>
          <w:rFonts w:ascii="Microsoft YaHei" w:hAnsi="Microsoft YaHei" w:eastAsia="Microsoft YaHei"/>
          <w:b w:val="0"/>
          <w:color w:val="000000"/>
          <w:sz w:val="20"/>
        </w:rPr>
        <w:t>五 接口与协作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M01：引用 Agent identity、岗位、授权和 Guard；不得修改权限事实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M02：记录 Agent Result、Evidence、Audit、Trace、Cost 和退出证据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M14：提供研发 Agent 的岗位/团队/能力上下文，接收工程任务和结果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M03–M10：提供各业务中心的 Agent 入口、工作投影、专业验收和反馈</w:t>
      </w:r>
    </w:p>
    <w:p>
      <w:pPr>
        <w:pStyle w:val="Heading1"/>
        <w:spacing w:before="200" w:after="80"/>
      </w:pPr>
      <w:r>
        <w:rPr>
          <w:rFonts w:ascii="Microsoft YaHei" w:hAnsi="Microsoft YaHei" w:eastAsia="Microsoft YaHei"/>
          <w:b w:val="0"/>
          <w:color w:val="000000"/>
          <w:sz w:val="20"/>
        </w:rPr>
        <w:t>六 安全控制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每个 Agent 使用受控身份、最小权限、租户和成本边界；工具、网络、文件、数据库和出网白名单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Prompt Injection、间接注入、不可信内容、记忆污染、工具滥用、数据外发和越权测试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生产写入、发版、删除、付款、设备动作、权限提升和外部发送必须人审/双人/业务 Owner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预算、超时、并发、速率、熔断、隔离、凭证撤销、人工接管和证据保全可执行</w:t>
      </w:r>
    </w:p>
    <w:p>
      <w:pPr>
        <w:pStyle w:val="Heading1"/>
        <w:spacing w:before="200" w:after="80"/>
      </w:pPr>
      <w:r>
        <w:rPr>
          <w:rFonts w:ascii="Microsoft YaHei" w:hAnsi="Microsoft YaHei" w:eastAsia="Microsoft YaHei"/>
          <w:b w:val="0"/>
          <w:color w:val="000000"/>
          <w:sz w:val="20"/>
        </w:rPr>
        <w:t>七 36 周落地安排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52"/>
        <w:gridCol w:w="4752"/>
        <w:gridCol w:w="4752"/>
      </w:tblGrid>
      <w:tr>
        <w:trPr>
          <w:tblHeader w:val="true"/>
        </w:trPr>
        <w:tc>
          <w:tcPr>
            <w:tcW w:type="dxa" w:w="2016"/>
            <w:shd w:fill="D9EAF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周期</w:t>
            </w:r>
          </w:p>
        </w:tc>
        <w:tc>
          <w:tcPr>
            <w:tcW w:type="dxa" w:w="1440"/>
            <w:shd w:fill="D9EAF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Gate</w:t>
            </w:r>
          </w:p>
        </w:tc>
        <w:tc>
          <w:tcPr>
            <w:tcW w:type="dxa" w:w="9648"/>
            <w:shd w:fill="D9EAF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当前必须完成</w:t>
            </w:r>
          </w:p>
        </w:tc>
      </w:tr>
      <w:tr>
        <w:tc>
          <w:tcPr>
            <w:tcW w:type="dxa" w:w="201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W01–W04</w:t>
            </w:r>
          </w:p>
        </w:tc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G0</w:t>
            </w:r>
          </w:p>
        </w:tc>
        <w:tc>
          <w:tcPr>
            <w:tcW w:type="dxa" w:w="96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确认 M13 编号、边界、Owner、Must Not、P0-01/P0-02/P0 同步和安全风险</w:t>
            </w:r>
          </w:p>
        </w:tc>
      </w:tr>
      <w:tr>
        <w:tc>
          <w:tcPr>
            <w:tcW w:type="dxa" w:w="201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W05–W16</w:t>
            </w:r>
          </w:p>
        </w:tc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G1/G3</w:t>
            </w:r>
          </w:p>
        </w:tc>
        <w:tc>
          <w:tcPr>
            <w:tcW w:type="dxa" w:w="96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完成 AgentIdentity、Registry、岗位、生命周期、Runtime、Result/Evidence 契约</w:t>
            </w:r>
          </w:p>
        </w:tc>
      </w:tr>
      <w:tr>
        <w:tc>
          <w:tcPr>
            <w:tcW w:type="dxa" w:w="201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W21–W28</w:t>
            </w:r>
          </w:p>
        </w:tc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G5/G6</w:t>
            </w:r>
          </w:p>
        </w:tc>
        <w:tc>
          <w:tcPr>
            <w:tcW w:type="dxa" w:w="96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完成三中心接入、Workforce 最小闭环、绩效成本和 M14 协作</w:t>
            </w:r>
          </w:p>
        </w:tc>
      </w:tr>
      <w:tr>
        <w:tc>
          <w:tcPr>
            <w:tcW w:type="dxa" w:w="201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W29–W36</w:t>
            </w:r>
          </w:p>
        </w:tc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G7/G8</w:t>
            </w:r>
          </w:p>
        </w:tc>
        <w:tc>
          <w:tcPr>
            <w:tcW w:type="dxa" w:w="96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完成 Agent 红队、工具治理、灾备、熔断、验收、运营和复制</w:t>
            </w:r>
          </w:p>
        </w:tc>
      </w:tr>
    </w:tbl>
    <w:p>
      <w:pPr>
        <w:spacing w:after="40"/>
      </w:pPr>
    </w:p>
    <w:p>
      <w:pPr>
        <w:pStyle w:val="Heading1"/>
        <w:spacing w:before="200" w:after="80"/>
      </w:pPr>
      <w:r>
        <w:rPr>
          <w:rFonts w:ascii="Microsoft YaHei" w:hAnsi="Microsoft YaHei" w:eastAsia="Microsoft YaHei"/>
          <w:b w:val="0"/>
          <w:color w:val="000000"/>
          <w:sz w:val="20"/>
        </w:rPr>
        <w:t>八 验收标准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Agent 生命周期可登记、启用、暂停、撤权、转岗和退出，且每一步有证据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高风险工具调用 100% 有策略判定、审批/人审、审计和可熔断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Agent 工作量、SLA、质量、成本和版本可比较、可回放、可复核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M13 与 M01/M02/M12/M14 责任边界无重叠，业务结果由专业中心验收</w:t>
      </w:r>
    </w:p>
    <w:p>
      <w:pPr>
        <w:pStyle w:val="Heading1"/>
        <w:spacing w:before="200" w:after="80"/>
      </w:pPr>
      <w:r>
        <w:rPr>
          <w:rFonts w:ascii="Microsoft YaHei" w:hAnsi="Microsoft YaHei" w:eastAsia="Microsoft YaHei"/>
          <w:b w:val="0"/>
          <w:color w:val="000000"/>
          <w:sz w:val="20"/>
        </w:rPr>
        <w:t>九 当前来源与证据状态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52"/>
        <w:gridCol w:w="4752"/>
        <w:gridCol w:w="4752"/>
      </w:tblGrid>
      <w:tr>
        <w:trPr>
          <w:tblHeader w:val="true"/>
        </w:trPr>
        <w:tc>
          <w:tcPr>
            <w:tcW w:type="dxa" w:w="8352"/>
            <w:shd w:fill="D9EAF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来源</w:t>
            </w:r>
          </w:p>
        </w:tc>
        <w:tc>
          <w:tcPr>
            <w:tcW w:type="dxa" w:w="2448"/>
            <w:shd w:fill="D9EAF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状态</w:t>
            </w:r>
          </w:p>
        </w:tc>
        <w:tc>
          <w:tcPr>
            <w:tcW w:type="dxa" w:w="3888"/>
            <w:shd w:fill="D9EAF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SHA-256</w:t>
            </w:r>
          </w:p>
        </w:tc>
      </w:tr>
      <w:tr>
        <w:tc>
          <w:tcPr>
            <w:tcW w:type="dxa" w:w="835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AEOS_最终资料归档_20261014_V7.2.2/03_原始资料镜像/Hub智能体/AEOS_Hub_M13智能体员工管理中心定位与编号决议_V1.0.md</w:t>
            </w:r>
          </w:p>
        </w:tc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AVAILABLE / HASHED</w:t>
            </w:r>
          </w:p>
        </w:tc>
        <w:tc>
          <w:tcPr>
            <w:tcW w:type="dxa" w:w="388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5050F1EBE4D2E0B9037BCE07B04ED33AF4411573CF7212BAAA0F15FBEC385F4A</w:t>
            </w:r>
          </w:p>
        </w:tc>
      </w:tr>
      <w:tr>
        <w:tc>
          <w:tcPr>
            <w:tcW w:type="dxa" w:w="835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AEOS_最终资料归档_20261014_V7.2.2/03_原始资料镜像/Hub智能体/V1.2执行版.md</w:t>
            </w:r>
          </w:p>
        </w:tc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AVAILABLE / HASHED</w:t>
            </w:r>
          </w:p>
        </w:tc>
        <w:tc>
          <w:tcPr>
            <w:tcW w:type="dxa" w:w="388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BC82BD32E08E39930A59EECB4863302364CA7D2ABE66CA8A8FA3A6380B9A20E6</w:t>
            </w:r>
          </w:p>
        </w:tc>
      </w:tr>
      <w:tr>
        <w:tc>
          <w:tcPr>
            <w:tcW w:type="dxa" w:w="835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AEOS_最终资料归档_20261014_V7.2.2/03_原始资料镜像/销售自治中心/AEOS_M05_M10_Agent_标准与总体方案_归档资料包_2026-10-10/AEOS_Agent_分层装配与治理规范_V1.0.md</w:t>
            </w:r>
          </w:p>
        </w:tc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AVAILABLE / HASHED</w:t>
            </w:r>
          </w:p>
        </w:tc>
        <w:tc>
          <w:tcPr>
            <w:tcW w:type="dxa" w:w="388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FA578EF157EE467C7E7D7C0843FC9971ADEB8FA2D8821C577E13E0514E68178A</w:t>
            </w:r>
          </w:p>
        </w:tc>
      </w:tr>
    </w:tbl>
    <w:p>
      <w:pPr>
        <w:spacing w:after="40"/>
      </w:pP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M13 定位与编号已纳入当前方案，但正式 P0 同步签批、Agent 工具注册、运行证据和安全红队仍是 G0/G7 放行条件。 对应正式文件仍须按 System Registry V1.3 候选字段登记。</w:t>
      </w:r>
    </w:p>
    <w:p>
      <w:pPr>
        <w:pStyle w:val="Heading1"/>
        <w:spacing w:before="200" w:after="80"/>
      </w:pPr>
      <w:r>
        <w:rPr>
          <w:rFonts w:ascii="Microsoft YaHei" w:hAnsi="Microsoft YaHei" w:eastAsia="Microsoft YaHei"/>
          <w:b w:val="0"/>
          <w:color w:val="000000"/>
          <w:sz w:val="20"/>
        </w:rPr>
        <w:t>十 模块签批条件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M13 Owner 确认 Own 与 Must Not 边界。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M01/M02/M12/M13/M14 相关接口、权限、证据和安全条件已登记。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模块关键对象、Result、Evidence、验收人和回滚路径可定位。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模块 Gate 交付物、风险、责任人和截止时间已进入 36 周台账。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来源、版本、状态和 SHA-256 已登记；待补项明确保持 EVIDENCE-PENDING。</w:t>
      </w:r>
    </w:p>
    <w:p>
      <w:r>
        <w:rPr>
          <w:rFonts w:ascii="Microsoft YaHei" w:hAnsi="Microsoft YaHei" w:eastAsia="Microsoft YaHei"/>
          <w:b w:val="0"/>
          <w:color w:val="000000"/>
          <w:sz w:val="20"/>
        </w:rPr>
        <w:br w:type="page"/>
      </w:r>
    </w:p>
    <w:p>
      <w:pPr>
        <w:pStyle w:val="Heading1"/>
        <w:spacing w:before="200" w:after="80"/>
      </w:pPr>
      <w:r>
        <w:rPr>
          <w:rFonts w:ascii="Microsoft YaHei" w:hAnsi="Microsoft YaHei" w:eastAsia="Microsoft YaHei"/>
          <w:b w:val="0"/>
          <w:color w:val="000000"/>
          <w:sz w:val="20"/>
        </w:rPr>
        <w:t>命名与对象代码冻结候选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本附录把 M00–M14 的系统代码、正式名称、ID 命名、Owner 字段和核心闭环作为统一候选规范，适用于本合订版内所有模块。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51"/>
        <w:gridCol w:w="2851"/>
        <w:gridCol w:w="2851"/>
        <w:gridCol w:w="2851"/>
        <w:gridCol w:w="2851"/>
      </w:tblGrid>
      <w:tr>
        <w:tc>
          <w:tcPr>
            <w:tcW w:type="dxa" w:w="1152"/>
            <w:shd w:fill="D9EAF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module_id</w:t>
            </w:r>
          </w:p>
        </w:tc>
        <w:tc>
          <w:tcPr>
            <w:tcW w:type="dxa" w:w="1440"/>
            <w:shd w:fill="D9EAF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system_code</w:t>
            </w:r>
          </w:p>
        </w:tc>
        <w:tc>
          <w:tcPr>
            <w:tcW w:type="dxa" w:w="3744"/>
            <w:shd w:fill="D9EAF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system_name</w:t>
            </w:r>
          </w:p>
        </w:tc>
        <w:tc>
          <w:tcPr>
            <w:tcW w:type="dxa" w:w="4896"/>
            <w:shd w:fill="D9EAF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system_name_en</w:t>
            </w:r>
          </w:p>
        </w:tc>
        <w:tc>
          <w:tcPr>
            <w:tcW w:type="dxa" w:w="2448"/>
            <w:shd w:fill="D9EAF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status</w:t>
            </w:r>
          </w:p>
        </w:tc>
        <w:trPr>
          <w:tblHeader/>
        </w:trPr>
      </w:tr>
      <w:tr>
        <w:tc>
          <w:tcPr>
            <w:tcW w:type="dxa" w:w="115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M00</w:t>
            </w:r>
          </w:p>
        </w:tc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GOV</w:t>
            </w:r>
          </w:p>
        </w:tc>
        <w:tc>
          <w:tcPr>
            <w:tcW w:type="dxa" w:w="374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AEOS 治理与总体架构</w:t>
            </w:r>
          </w:p>
        </w:tc>
        <w:tc>
          <w:tcPr>
            <w:tcW w:type="dxa" w:w="489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AEOS Governance &amp; Architecture</w:t>
            </w:r>
          </w:p>
        </w:tc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CANDIDATE / NOT FROZEN</w:t>
            </w:r>
          </w:p>
        </w:tc>
      </w:tr>
      <w:tr>
        <w:tc>
          <w:tcPr>
            <w:tcW w:type="dxa" w:w="115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M01</w:t>
            </w:r>
          </w:p>
        </w:tc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Kernel</w:t>
            </w:r>
          </w:p>
        </w:tc>
        <w:tc>
          <w:tcPr>
            <w:tcW w:type="dxa" w:w="374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AEOS 核心内核</w:t>
            </w:r>
          </w:p>
        </w:tc>
        <w:tc>
          <w:tcPr>
            <w:tcW w:type="dxa" w:w="489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AEOS Kernel</w:t>
            </w:r>
          </w:p>
        </w:tc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CANDIDATE / NOT FROZEN</w:t>
            </w:r>
          </w:p>
        </w:tc>
      </w:tr>
      <w:tr>
        <w:tc>
          <w:tcPr>
            <w:tcW w:type="dxa" w:w="115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M02</w:t>
            </w:r>
          </w:p>
        </w:tc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EDP</w:t>
            </w:r>
          </w:p>
        </w:tc>
        <w:tc>
          <w:tcPr>
            <w:tcW w:type="dxa" w:w="374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企业数据与证据平台</w:t>
            </w:r>
          </w:p>
        </w:tc>
        <w:tc>
          <w:tcPr>
            <w:tcW w:type="dxa" w:w="489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Enterprise Data &amp; Evidence Platform</w:t>
            </w:r>
          </w:p>
        </w:tc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CANDIDATE / NOT FROZEN</w:t>
            </w:r>
          </w:p>
        </w:tc>
      </w:tr>
      <w:tr>
        <w:tc>
          <w:tcPr>
            <w:tcW w:type="dxa" w:w="115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M03</w:t>
            </w:r>
          </w:p>
        </w:tc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EBMS</w:t>
            </w:r>
          </w:p>
        </w:tc>
        <w:tc>
          <w:tcPr>
            <w:tcW w:type="dxa" w:w="374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企业经营管理系统</w:t>
            </w:r>
          </w:p>
        </w:tc>
        <w:tc>
          <w:tcPr>
            <w:tcW w:type="dxa" w:w="489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Enterprise Business Management System</w:t>
            </w:r>
          </w:p>
        </w:tc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CANDIDATE / NOT FROZEN</w:t>
            </w:r>
          </w:p>
        </w:tc>
      </w:tr>
      <w:tr>
        <w:tc>
          <w:tcPr>
            <w:tcW w:type="dxa" w:w="115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M04</w:t>
            </w:r>
          </w:p>
        </w:tc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RDC</w:t>
            </w:r>
          </w:p>
        </w:tc>
        <w:tc>
          <w:tcPr>
            <w:tcW w:type="dxa" w:w="374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研发自治中心</w:t>
            </w:r>
          </w:p>
        </w:tc>
        <w:tc>
          <w:tcPr>
            <w:tcW w:type="dxa" w:w="489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R&amp;D Autonomous Center</w:t>
            </w:r>
          </w:p>
        </w:tc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CANDIDATE / NOT FROZEN</w:t>
            </w:r>
          </w:p>
        </w:tc>
      </w:tr>
      <w:tr>
        <w:tc>
          <w:tcPr>
            <w:tcW w:type="dxa" w:w="115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M05</w:t>
            </w:r>
          </w:p>
        </w:tc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CRM</w:t>
            </w:r>
          </w:p>
        </w:tc>
        <w:tc>
          <w:tcPr>
            <w:tcW w:type="dxa" w:w="374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销售自治中心</w:t>
            </w:r>
          </w:p>
        </w:tc>
        <w:tc>
          <w:tcPr>
            <w:tcW w:type="dxa" w:w="489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Sales Autonomous Center</w:t>
            </w:r>
          </w:p>
        </w:tc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CANDIDATE / NOT FROZEN</w:t>
            </w:r>
          </w:p>
        </w:tc>
      </w:tr>
      <w:tr>
        <w:tc>
          <w:tcPr>
            <w:tcW w:type="dxa" w:w="115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M06</w:t>
            </w:r>
          </w:p>
        </w:tc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SPC</w:t>
            </w:r>
          </w:p>
        </w:tc>
        <w:tc>
          <w:tcPr>
            <w:tcW w:type="dxa" w:w="374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交付自治中心</w:t>
            </w:r>
          </w:p>
        </w:tc>
        <w:tc>
          <w:tcPr>
            <w:tcW w:type="dxa" w:w="489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Delivery Autonomous Center</w:t>
            </w:r>
          </w:p>
        </w:tc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CANDIDATE / NOT FROZEN</w:t>
            </w:r>
          </w:p>
        </w:tc>
      </w:tr>
      <w:tr>
        <w:tc>
          <w:tcPr>
            <w:tcW w:type="dxa" w:w="115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M07</w:t>
            </w:r>
          </w:p>
        </w:tc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HLC</w:t>
            </w:r>
          </w:p>
        </w:tc>
        <w:tc>
          <w:tcPr>
            <w:tcW w:type="dxa" w:w="374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人力后勤自治中心</w:t>
            </w:r>
          </w:p>
        </w:tc>
        <w:tc>
          <w:tcPr>
            <w:tcW w:type="dxa" w:w="489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Human &amp; Logistics Center</w:t>
            </w:r>
          </w:p>
        </w:tc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CANDIDATE / NOT FROZEN</w:t>
            </w:r>
          </w:p>
        </w:tc>
      </w:tr>
      <w:tr>
        <w:tc>
          <w:tcPr>
            <w:tcW w:type="dxa" w:w="115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M08</w:t>
            </w:r>
          </w:p>
        </w:tc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QAC</w:t>
            </w:r>
          </w:p>
        </w:tc>
        <w:tc>
          <w:tcPr>
            <w:tcW w:type="dxa" w:w="374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质量自治中心</w:t>
            </w:r>
          </w:p>
        </w:tc>
        <w:tc>
          <w:tcPr>
            <w:tcW w:type="dxa" w:w="489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Quality Autonomous Center</w:t>
            </w:r>
          </w:p>
        </w:tc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CANDIDATE / NOT FROZEN</w:t>
            </w:r>
          </w:p>
        </w:tc>
      </w:tr>
      <w:tr>
        <w:tc>
          <w:tcPr>
            <w:tcW w:type="dxa" w:w="115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M09</w:t>
            </w:r>
          </w:p>
        </w:tc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FAC</w:t>
            </w:r>
          </w:p>
        </w:tc>
        <w:tc>
          <w:tcPr>
            <w:tcW w:type="dxa" w:w="374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财经自治中心</w:t>
            </w:r>
          </w:p>
        </w:tc>
        <w:tc>
          <w:tcPr>
            <w:tcW w:type="dxa" w:w="489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Finance Autonomous Center</w:t>
            </w:r>
          </w:p>
        </w:tc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CANDIDATE / NOT FROZEN</w:t>
            </w:r>
          </w:p>
        </w:tc>
      </w:tr>
      <w:tr>
        <w:tc>
          <w:tcPr>
            <w:tcW w:type="dxa" w:w="115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M10</w:t>
            </w:r>
          </w:p>
        </w:tc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POMS</w:t>
            </w:r>
          </w:p>
        </w:tc>
        <w:tc>
          <w:tcPr>
            <w:tcW w:type="dxa" w:w="374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岗位与个人运营微系统</w:t>
            </w:r>
          </w:p>
        </w:tc>
        <w:tc>
          <w:tcPr>
            <w:tcW w:type="dxa" w:w="489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Role &amp; Personal Operations Micro-system</w:t>
            </w:r>
          </w:p>
        </w:tc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CANDIDATE / NOT FROZEN</w:t>
            </w:r>
          </w:p>
        </w:tc>
      </w:tr>
      <w:tr>
        <w:tc>
          <w:tcPr>
            <w:tcW w:type="dxa" w:w="115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M11</w:t>
            </w:r>
          </w:p>
        </w:tc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IHC</w:t>
            </w:r>
          </w:p>
        </w:tc>
        <w:tc>
          <w:tcPr>
            <w:tcW w:type="dxa" w:w="374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集成与智能硬件接入中心</w:t>
            </w:r>
          </w:p>
        </w:tc>
        <w:tc>
          <w:tcPr>
            <w:tcW w:type="dxa" w:w="489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Integration &amp; Intelligent Hardware Center</w:t>
            </w:r>
          </w:p>
        </w:tc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CANDIDATE / NOT FROZEN</w:t>
            </w:r>
          </w:p>
        </w:tc>
      </w:tr>
      <w:tr>
        <w:tc>
          <w:tcPr>
            <w:tcW w:type="dxa" w:w="115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M12</w:t>
            </w:r>
          </w:p>
        </w:tc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DSO</w:t>
            </w:r>
          </w:p>
        </w:tc>
        <w:tc>
          <w:tcPr>
            <w:tcW w:type="dxa" w:w="374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DevSecOps 与可观测性质量中心</w:t>
            </w:r>
          </w:p>
        </w:tc>
        <w:tc>
          <w:tcPr>
            <w:tcW w:type="dxa" w:w="489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DevSecOps, Observability &amp; Quality Center</w:t>
            </w:r>
          </w:p>
        </w:tc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CANDIDATE / NOT FROZEN</w:t>
            </w:r>
          </w:p>
        </w:tc>
      </w:tr>
      <w:tr>
        <w:tc>
          <w:tcPr>
            <w:tcW w:type="dxa" w:w="115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M13</w:t>
            </w:r>
          </w:p>
        </w:tc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Hub</w:t>
            </w:r>
          </w:p>
        </w:tc>
        <w:tc>
          <w:tcPr>
            <w:tcW w:type="dxa" w:w="374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智能体员工自治管理中心</w:t>
            </w:r>
          </w:p>
        </w:tc>
        <w:tc>
          <w:tcPr>
            <w:tcW w:type="dxa" w:w="489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AEOS Agent Workforce Center</w:t>
            </w:r>
          </w:p>
        </w:tc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CANDIDATE / NOT FROZEN</w:t>
            </w:r>
          </w:p>
        </w:tc>
      </w:tr>
      <w:tr>
        <w:tc>
          <w:tcPr>
            <w:tcW w:type="dxa" w:w="115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M14</w:t>
            </w:r>
          </w:p>
        </w:tc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NOMI</w:t>
            </w:r>
          </w:p>
        </w:tc>
        <w:tc>
          <w:tcPr>
            <w:tcW w:type="dxa" w:w="374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系统研发自治中心</w:t>
            </w:r>
          </w:p>
        </w:tc>
        <w:tc>
          <w:tcPr>
            <w:tcW w:type="dxa" w:w="489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NOMI System Development Autonomous Center</w:t>
            </w:r>
          </w:p>
        </w:tc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CANDIDATE / NOT FROZEN</w:t>
            </w:r>
          </w:p>
        </w:tc>
      </w:tr>
    </w:tbl>
    <w:p>
      <w:pPr>
        <w:spacing w:after="40"/>
      </w:pPr>
    </w:p>
    <w:p>
      <w:pPr>
        <w:pStyle w:val="Heading2"/>
        <w:spacing w:before="120" w:after="80"/>
      </w:pPr>
      <w:r>
        <w:rPr>
          <w:rFonts w:ascii="Microsoft YaHei" w:hAnsi="Microsoft YaHei" w:eastAsia="Microsoft YaHei"/>
          <w:b w:val="0"/>
          <w:color w:val="000000"/>
          <w:sz w:val="20"/>
        </w:rPr>
        <w:t>统一 ID 与 Owner 字段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564"/>
        <w:gridCol w:w="3564"/>
        <w:gridCol w:w="3564"/>
        <w:gridCol w:w="3564"/>
      </w:tblGrid>
      <w:tr>
        <w:tc>
          <w:tcPr>
            <w:tcW w:type="dxa" w:w="2160"/>
            <w:shd w:fill="D9EAF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字段</w:t>
            </w:r>
          </w:p>
        </w:tc>
        <w:tc>
          <w:tcPr>
            <w:tcW w:type="dxa" w:w="2304"/>
            <w:shd w:fill="D9EAF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语义</w:t>
            </w:r>
          </w:p>
        </w:tc>
        <w:tc>
          <w:tcPr>
            <w:tcW w:type="dxa" w:w="2880"/>
            <w:shd w:fill="D9EAF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Owner</w:t>
            </w:r>
          </w:p>
        </w:tc>
        <w:tc>
          <w:tcPr>
            <w:tcW w:type="dxa" w:w="5760"/>
            <w:shd w:fill="D9EAF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要求</w:t>
            </w:r>
          </w:p>
        </w:tc>
        <w:trPr>
          <w:tblHeader/>
        </w:trPr>
      </w:tr>
      <w:tr>
        <w:tc>
          <w:tcPr>
            <w:tcW w:type="dxa" w:w="21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tenant_id</w:t>
            </w:r>
          </w:p>
        </w:tc>
        <w:tc>
          <w:tcPr>
            <w:tcW w:type="dxa" w:w="230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租户</w:t>
            </w:r>
          </w:p>
        </w:tc>
        <w:tc>
          <w:tcPr>
            <w:tcW w:type="dxa" w:w="288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M01</w:t>
            </w:r>
          </w:p>
        </w:tc>
        <w:tc>
          <w:tcPr>
            <w:tcW w:type="dxa" w:w="57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所有跨租户对象和事件的隔离边界</w:t>
            </w:r>
          </w:p>
        </w:tc>
      </w:tr>
      <w:tr>
        <w:tc>
          <w:tcPr>
            <w:tcW w:type="dxa" w:w="21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system_id</w:t>
            </w:r>
          </w:p>
        </w:tc>
        <w:tc>
          <w:tcPr>
            <w:tcW w:type="dxa" w:w="230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系统</w:t>
            </w:r>
          </w:p>
        </w:tc>
        <w:tc>
          <w:tcPr>
            <w:tcW w:type="dxa" w:w="288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M00</w:t>
            </w:r>
          </w:p>
        </w:tc>
        <w:tc>
          <w:tcPr>
            <w:tcW w:type="dxa" w:w="57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System Registry 的系统唯一标识</w:t>
            </w:r>
          </w:p>
        </w:tc>
      </w:tr>
      <w:tr>
        <w:tc>
          <w:tcPr>
            <w:tcW w:type="dxa" w:w="21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object_id</w:t>
            </w:r>
          </w:p>
        </w:tc>
        <w:tc>
          <w:tcPr>
            <w:tcW w:type="dxa" w:w="230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对象</w:t>
            </w:r>
          </w:p>
        </w:tc>
        <w:tc>
          <w:tcPr>
            <w:tcW w:type="dxa" w:w="288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M02</w:t>
            </w:r>
          </w:p>
        </w:tc>
        <w:tc>
          <w:tcPr>
            <w:tcW w:type="dxa" w:w="57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Object/BusinessObject 的通用唯一标识</w:t>
            </w:r>
          </w:p>
        </w:tc>
      </w:tr>
      <w:tr>
        <w:tc>
          <w:tcPr>
            <w:tcW w:type="dxa" w:w="21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event_id</w:t>
            </w:r>
          </w:p>
        </w:tc>
        <w:tc>
          <w:tcPr>
            <w:tcW w:type="dxa" w:w="230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事件</w:t>
            </w:r>
          </w:p>
        </w:tc>
        <w:tc>
          <w:tcPr>
            <w:tcW w:type="dxa" w:w="288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M02</w:t>
            </w:r>
          </w:p>
        </w:tc>
        <w:tc>
          <w:tcPr>
            <w:tcW w:type="dxa" w:w="57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状态变化、来源、主体和时间</w:t>
            </w:r>
          </w:p>
        </w:tc>
      </w:tr>
      <w:tr>
        <w:tc>
          <w:tcPr>
            <w:tcW w:type="dxa" w:w="21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goal_id</w:t>
            </w:r>
          </w:p>
        </w:tc>
        <w:tc>
          <w:tcPr>
            <w:tcW w:type="dxa" w:w="230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目标</w:t>
            </w:r>
          </w:p>
        </w:tc>
        <w:tc>
          <w:tcPr>
            <w:tcW w:type="dxa" w:w="288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M03/业务中心</w:t>
            </w:r>
          </w:p>
        </w:tc>
        <w:tc>
          <w:tcPr>
            <w:tcW w:type="dxa" w:w="57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目标和指标关联</w:t>
            </w:r>
          </w:p>
        </w:tc>
      </w:tr>
      <w:tr>
        <w:tc>
          <w:tcPr>
            <w:tcW w:type="dxa" w:w="21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decision_id</w:t>
            </w:r>
          </w:p>
        </w:tc>
        <w:tc>
          <w:tcPr>
            <w:tcW w:type="dxa" w:w="230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决策</w:t>
            </w:r>
          </w:p>
        </w:tc>
        <w:tc>
          <w:tcPr>
            <w:tcW w:type="dxa" w:w="288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M03/业务中心</w:t>
            </w:r>
          </w:p>
        </w:tc>
        <w:tc>
          <w:tcPr>
            <w:tcW w:type="dxa" w:w="57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决策案例和审批关联</w:t>
            </w:r>
          </w:p>
        </w:tc>
      </w:tr>
      <w:tr>
        <w:tc>
          <w:tcPr>
            <w:tcW w:type="dxa" w:w="21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action_id</w:t>
            </w:r>
          </w:p>
        </w:tc>
        <w:tc>
          <w:tcPr>
            <w:tcW w:type="dxa" w:w="230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行动</w:t>
            </w:r>
          </w:p>
        </w:tc>
        <w:tc>
          <w:tcPr>
            <w:tcW w:type="dxa" w:w="288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专业中心/M03/M14</w:t>
            </w:r>
          </w:p>
        </w:tc>
        <w:tc>
          <w:tcPr>
            <w:tcW w:type="dxa" w:w="57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行动、执行、回执和升级关联</w:t>
            </w:r>
          </w:p>
        </w:tc>
      </w:tr>
      <w:tr>
        <w:tc>
          <w:tcPr>
            <w:tcW w:type="dxa" w:w="21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result_id</w:t>
            </w:r>
          </w:p>
        </w:tc>
        <w:tc>
          <w:tcPr>
            <w:tcW w:type="dxa" w:w="230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结果</w:t>
            </w:r>
          </w:p>
        </w:tc>
        <w:tc>
          <w:tcPr>
            <w:tcW w:type="dxa" w:w="288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专业中心/M02</w:t>
            </w:r>
          </w:p>
        </w:tc>
        <w:tc>
          <w:tcPr>
            <w:tcW w:type="dxa" w:w="57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可验证业务或工程结果</w:t>
            </w:r>
          </w:p>
        </w:tc>
      </w:tr>
      <w:tr>
        <w:tc>
          <w:tcPr>
            <w:tcW w:type="dxa" w:w="21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verification_id</w:t>
            </w:r>
          </w:p>
        </w:tc>
        <w:tc>
          <w:tcPr>
            <w:tcW w:type="dxa" w:w="230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验证</w:t>
            </w:r>
          </w:p>
        </w:tc>
        <w:tc>
          <w:tcPr>
            <w:tcW w:type="dxa" w:w="288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专业中心/M02</w:t>
            </w:r>
          </w:p>
        </w:tc>
        <w:tc>
          <w:tcPr>
            <w:tcW w:type="dxa" w:w="57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验证动作和验证结论</w:t>
            </w:r>
          </w:p>
        </w:tc>
      </w:tr>
      <w:tr>
        <w:tc>
          <w:tcPr>
            <w:tcW w:type="dxa" w:w="21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evidence_id</w:t>
            </w:r>
          </w:p>
        </w:tc>
        <w:tc>
          <w:tcPr>
            <w:tcW w:type="dxa" w:w="230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证据</w:t>
            </w:r>
          </w:p>
        </w:tc>
        <w:tc>
          <w:tcPr>
            <w:tcW w:type="dxa" w:w="288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M02</w:t>
            </w:r>
          </w:p>
        </w:tc>
        <w:tc>
          <w:tcPr>
            <w:tcW w:type="dxa" w:w="57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文件、测试、审批、回执、来源和哈希</w:t>
            </w:r>
          </w:p>
        </w:tc>
      </w:tr>
      <w:tr>
        <w:tc>
          <w:tcPr>
            <w:tcW w:type="dxa" w:w="21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trace_id</w:t>
            </w:r>
          </w:p>
        </w:tc>
        <w:tc>
          <w:tcPr>
            <w:tcW w:type="dxa" w:w="230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链路</w:t>
            </w:r>
          </w:p>
        </w:tc>
        <w:tc>
          <w:tcPr>
            <w:tcW w:type="dxa" w:w="288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M02/M12</w:t>
            </w:r>
          </w:p>
        </w:tc>
        <w:tc>
          <w:tcPr>
            <w:tcW w:type="dxa" w:w="57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跨服务、跨模块和跨 Agent 追踪</w:t>
            </w:r>
          </w:p>
        </w:tc>
      </w:tr>
      <w:tr>
        <w:tc>
          <w:tcPr>
            <w:tcW w:type="dxa" w:w="21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person_id</w:t>
            </w:r>
          </w:p>
        </w:tc>
        <w:tc>
          <w:tcPr>
            <w:tcW w:type="dxa" w:w="230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人员</w:t>
            </w:r>
          </w:p>
        </w:tc>
        <w:tc>
          <w:tcPr>
            <w:tcW w:type="dxa" w:w="288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M01</w:t>
            </w:r>
          </w:p>
        </w:tc>
        <w:tc>
          <w:tcPr>
            <w:tcW w:type="dxa" w:w="57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人员身份引用</w:t>
            </w:r>
          </w:p>
        </w:tc>
      </w:tr>
      <w:tr>
        <w:tc>
          <w:tcPr>
            <w:tcW w:type="dxa" w:w="21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org_id</w:t>
            </w:r>
          </w:p>
        </w:tc>
        <w:tc>
          <w:tcPr>
            <w:tcW w:type="dxa" w:w="230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组织</w:t>
            </w:r>
          </w:p>
        </w:tc>
        <w:tc>
          <w:tcPr>
            <w:tcW w:type="dxa" w:w="288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M01</w:t>
            </w:r>
          </w:p>
        </w:tc>
        <w:tc>
          <w:tcPr>
            <w:tcW w:type="dxa" w:w="57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组织身份引用</w:t>
            </w:r>
          </w:p>
        </w:tc>
      </w:tr>
      <w:tr>
        <w:tc>
          <w:tcPr>
            <w:tcW w:type="dxa" w:w="21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position_id</w:t>
            </w:r>
          </w:p>
        </w:tc>
        <w:tc>
          <w:tcPr>
            <w:tcW w:type="dxa" w:w="230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岗位</w:t>
            </w:r>
          </w:p>
        </w:tc>
        <w:tc>
          <w:tcPr>
            <w:tcW w:type="dxa" w:w="288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M01</w:t>
            </w:r>
          </w:p>
        </w:tc>
        <w:tc>
          <w:tcPr>
            <w:tcW w:type="dxa" w:w="57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岗位身份引用</w:t>
            </w:r>
          </w:p>
        </w:tc>
      </w:tr>
      <w:tr>
        <w:tc>
          <w:tcPr>
            <w:tcW w:type="dxa" w:w="21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agent_id</w:t>
            </w:r>
          </w:p>
        </w:tc>
        <w:tc>
          <w:tcPr>
            <w:tcW w:type="dxa" w:w="230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智能体</w:t>
            </w:r>
          </w:p>
        </w:tc>
        <w:tc>
          <w:tcPr>
            <w:tcW w:type="dxa" w:w="288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M01/M13</w:t>
            </w:r>
          </w:p>
        </w:tc>
        <w:tc>
          <w:tcPr>
            <w:tcW w:type="dxa" w:w="57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Agent 身份引用</w:t>
            </w:r>
          </w:p>
        </w:tc>
      </w:tr>
      <w:tr>
        <w:tc>
          <w:tcPr>
            <w:tcW w:type="dxa" w:w="21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team_id</w:t>
            </w:r>
          </w:p>
        </w:tc>
        <w:tc>
          <w:tcPr>
            <w:tcW w:type="dxa" w:w="230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团队</w:t>
            </w:r>
          </w:p>
        </w:tc>
        <w:tc>
          <w:tcPr>
            <w:tcW w:type="dxa" w:w="288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M01/M13</w:t>
            </w:r>
          </w:p>
        </w:tc>
        <w:tc>
          <w:tcPr>
            <w:tcW w:type="dxa" w:w="57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组织或 Agent Team 引用</w:t>
            </w:r>
          </w:p>
        </w:tc>
      </w:tr>
      <w:tr>
        <w:tc>
          <w:tcPr>
            <w:tcW w:type="dxa" w:w="21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task_id</w:t>
            </w:r>
          </w:p>
        </w:tc>
        <w:tc>
          <w:tcPr>
            <w:tcW w:type="dxa" w:w="230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任务</w:t>
            </w:r>
          </w:p>
        </w:tc>
        <w:tc>
          <w:tcPr>
            <w:tcW w:type="dxa" w:w="288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专业中心/M14</w:t>
            </w:r>
          </w:p>
        </w:tc>
        <w:tc>
          <w:tcPr>
            <w:tcW w:type="dxa" w:w="57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业务任务或工程任务</w:t>
            </w:r>
          </w:p>
        </w:tc>
      </w:tr>
      <w:tr>
        <w:tc>
          <w:tcPr>
            <w:tcW w:type="dxa" w:w="21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fact_owner</w:t>
            </w:r>
          </w:p>
        </w:tc>
        <w:tc>
          <w:tcPr>
            <w:tcW w:type="dxa" w:w="230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事实 Owner</w:t>
            </w:r>
          </w:p>
        </w:tc>
        <w:tc>
          <w:tcPr>
            <w:tcW w:type="dxa" w:w="288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对一个关键 Object/Result 只能有一个</w:t>
            </w:r>
          </w:p>
        </w:tc>
        <w:tc>
          <w:tcPr>
            <w:tcW w:type="dxa" w:w="57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负责事实定义、专业结果和最终事实责任</w:t>
            </w:r>
          </w:p>
        </w:tc>
      </w:tr>
      <w:tr>
        <w:tc>
          <w:tcPr>
            <w:tcW w:type="dxa" w:w="21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record_owner</w:t>
            </w:r>
          </w:p>
        </w:tc>
        <w:tc>
          <w:tcPr>
            <w:tcW w:type="dxa" w:w="230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记录 Owner</w:t>
            </w:r>
          </w:p>
        </w:tc>
        <w:tc>
          <w:tcPr>
            <w:tcW w:type="dxa" w:w="288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通常为 M02 或产生记录的域</w:t>
            </w:r>
          </w:p>
        </w:tc>
        <w:tc>
          <w:tcPr>
            <w:tcW w:type="dxa" w:w="57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负责记录、证据、审计和留存</w:t>
            </w:r>
          </w:p>
        </w:tc>
      </w:tr>
      <w:tr>
        <w:tc>
          <w:tcPr>
            <w:tcW w:type="dxa" w:w="21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processor</w:t>
            </w:r>
          </w:p>
        </w:tc>
        <w:tc>
          <w:tcPr>
            <w:tcW w:type="dxa" w:w="230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处理者</w:t>
            </w:r>
          </w:p>
        </w:tc>
        <w:tc>
          <w:tcPr>
            <w:tcW w:type="dxa" w:w="288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执行计算、转换或动作的服务/Agent/人员</w:t>
            </w:r>
          </w:p>
        </w:tc>
        <w:tc>
          <w:tcPr>
            <w:tcW w:type="dxa" w:w="57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不自动获得事实 Owner 权限</w:t>
            </w:r>
          </w:p>
        </w:tc>
      </w:tr>
      <w:tr>
        <w:tc>
          <w:tcPr>
            <w:tcW w:type="dxa" w:w="21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consumer</w:t>
            </w:r>
          </w:p>
        </w:tc>
        <w:tc>
          <w:tcPr>
            <w:tcW w:type="dxa" w:w="230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消费者</w:t>
            </w:r>
          </w:p>
        </w:tc>
        <w:tc>
          <w:tcPr>
            <w:tcW w:type="dxa" w:w="288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读取或引用结果的模块</w:t>
            </w:r>
          </w:p>
        </w:tc>
        <w:tc>
          <w:tcPr>
            <w:tcW w:type="dxa" w:w="57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只能按契约消费，不复制事实</w:t>
            </w:r>
          </w:p>
        </w:tc>
      </w:tr>
      <w:tr>
        <w:tc>
          <w:tcPr>
            <w:tcW w:type="dxa" w:w="21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verifier</w:t>
            </w:r>
          </w:p>
        </w:tc>
        <w:tc>
          <w:tcPr>
            <w:tcW w:type="dxa" w:w="230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验证者</w:t>
            </w:r>
          </w:p>
        </w:tc>
        <w:tc>
          <w:tcPr>
            <w:tcW w:type="dxa" w:w="288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负责验证结果的人或岗位</w:t>
            </w:r>
          </w:p>
        </w:tc>
        <w:tc>
          <w:tcPr>
            <w:tcW w:type="dxa" w:w="57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对 Verification 结论负责</w:t>
            </w:r>
          </w:p>
        </w:tc>
      </w:tr>
    </w:tbl>
    <w:p>
      <w:pPr>
        <w:spacing w:after="40"/>
      </w:pPr>
    </w:p>
    <w:p>
      <w:pPr>
        <w:pStyle w:val="Heading2"/>
        <w:spacing w:before="120" w:after="80"/>
      </w:pPr>
      <w:r>
        <w:rPr>
          <w:rFonts w:ascii="Microsoft YaHei" w:hAnsi="Microsoft YaHei" w:eastAsia="Microsoft YaHei"/>
          <w:b w:val="0"/>
          <w:color w:val="000000"/>
          <w:sz w:val="20"/>
        </w:rPr>
        <w:t>AEOS 核心闭环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Object → Event → Exception（可选）→ Decision（可选）→ Action → Result → Verification → Evidence → Value → Learning。Fact 是 Object 当前被验证的事实状态，不是独立流程节点。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对象实体统一使用 Verification；动作统一使用 verify。数据库、Event 和内部 API 使用 snake_case；ViewModel 的 camelCase 必须由 Adapter 转换。</w:t>
      </w:r>
    </w:p>
    <w:sectPr w:rsidR="00FC693F" w:rsidRPr="0006063C" w:rsidSect="00034616">
      <w:footerReference w:type="default" r:id="rId9"/>
      <w:pgSz w:w="15840" w:h="12240" w:orient="landscape"/>
      <w:pgMar w:top="936" w:right="792" w:bottom="936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b w:val="0"/>
        <w:color w:val="000000"/>
        <w:sz w:val="20"/>
      </w:rPr>
      <w:t>AEOS 最终资料归档 | V7.2.2 | 2026-10-14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color w:val="00000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icrosoft YaHei" w:hAnsi="Microsoft YaHei" w:eastAsia="Microsoft YaHei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