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Noto Sans CJK SC" w:hAnsi="Noto Sans CJK SC" w:eastAsia="Noto Sans CJK SC"/>
          <w:b/>
          <w:color w:val="2962FF"/>
          <w:sz w:val="40"/>
        </w:rPr>
        <w:t>AEOS V7.2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202F43"/>
          <w:sz w:val="38"/>
        </w:rPr>
        <w:t>P0-02 Current → Target Module Mapping Matrix V1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5A6470"/>
          <w:sz w:val="22"/>
        </w:rPr>
        <w:t>现有系统 → 目标 Domain 模块映射矩阵 · 受控交付物</w:t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3C4652"/>
          <w:sz w:val="18"/>
        </w:rPr>
        <w:t>目的：把现有 EBMS、交付中台、恒聘通、研发模块逐项映射到 P0-01 已冻结的目标一级边界，为 P1 原地模块化、P0-03 Data Ownership、P0-05 统一契约提供唯一迁移依据。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5159"/>
        <w:gridCol w:w="1361"/>
        <w:gridCol w:w="5102"/>
      </w:tblGrid>
      <w:tr>
        <w:tc>
          <w:tcPr>
            <w:tcW w:type="dxa" w:w="399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233042"/>
                <w:sz w:val="16"/>
              </w:rPr>
              <w:t>文档编号</w:t>
            </w:r>
          </w:p>
        </w:tc>
        <w:tc>
          <w:tcPr>
            <w:tcW w:type="dxa" w:w="399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AEOS-P0-02-MMM-V1</w:t>
            </w:r>
          </w:p>
        </w:tc>
        <w:tc>
          <w:tcPr>
            <w:tcW w:type="dxa" w:w="399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233042"/>
                <w:sz w:val="16"/>
              </w:rPr>
              <w:t>版本</w:t>
            </w:r>
          </w:p>
        </w:tc>
        <w:tc>
          <w:tcPr>
            <w:tcW w:type="dxa" w:w="399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V1.0</w:t>
            </w:r>
          </w:p>
        </w:tc>
      </w:tr>
      <w:tr>
        <w:tc>
          <w:tcPr>
            <w:tcW w:type="dxa" w:w="399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233042"/>
                <w:sz w:val="16"/>
              </w:rPr>
              <w:t>任务</w:t>
            </w:r>
          </w:p>
        </w:tc>
        <w:tc>
          <w:tcPr>
            <w:tcW w:type="dxa" w:w="399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P0-02 Current → Target 模块映射</w:t>
            </w:r>
          </w:p>
        </w:tc>
        <w:tc>
          <w:tcPr>
            <w:tcW w:type="dxa" w:w="399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233042"/>
                <w:sz w:val="16"/>
              </w:rPr>
              <w:t>状态</w:t>
            </w:r>
          </w:p>
        </w:tc>
        <w:tc>
          <w:tcPr>
            <w:tcW w:type="dxa" w:w="399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待签批 / 签批后生效</w:t>
            </w:r>
          </w:p>
        </w:tc>
      </w:tr>
      <w:tr>
        <w:tc>
          <w:tcPr>
            <w:tcW w:type="dxa" w:w="399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233042"/>
                <w:sz w:val="16"/>
              </w:rPr>
              <w:t>上位基线</w:t>
            </w:r>
          </w:p>
        </w:tc>
        <w:tc>
          <w:tcPr>
            <w:tcW w:type="dxa" w:w="399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AEOS V7.2 执行方案 + System Registry V1</w:t>
            </w:r>
          </w:p>
        </w:tc>
        <w:tc>
          <w:tcPr>
            <w:tcW w:type="dxa" w:w="399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233042"/>
                <w:sz w:val="16"/>
              </w:rPr>
              <w:t>Accountable Owner</w:t>
            </w:r>
          </w:p>
        </w:tc>
        <w:tc>
          <w:tcPr>
            <w:tcW w:type="dxa" w:w="399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Chief Architect</w:t>
            </w:r>
          </w:p>
        </w:tc>
      </w:tr>
      <w:tr>
        <w:tc>
          <w:tcPr>
            <w:tcW w:type="dxa" w:w="399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233042"/>
                <w:sz w:val="16"/>
              </w:rPr>
              <w:t>编制日期</w:t>
            </w:r>
          </w:p>
        </w:tc>
        <w:tc>
          <w:tcPr>
            <w:tcW w:type="dxa" w:w="399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2026-09-18</w:t>
            </w:r>
          </w:p>
        </w:tc>
        <w:tc>
          <w:tcPr>
            <w:tcW w:type="dxa" w:w="399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233042"/>
                <w:sz w:val="16"/>
              </w:rPr>
              <w:t>控制级别</w:t>
            </w:r>
          </w:p>
        </w:tc>
        <w:tc>
          <w:tcPr>
            <w:tcW w:type="dxa" w:w="399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公司级受控架构映射基线</w:t>
            </w:r>
          </w:p>
        </w:tc>
      </w:tr>
    </w:tbl>
    <w:p>
      <w:pPr>
        <w:spacing w:before="120" w:after="80"/>
      </w:pPr>
      <w:r>
        <w:rPr>
          <w:rFonts w:ascii="Noto Sans CJK SC" w:hAnsi="Noto Sans CJK SC" w:eastAsia="Noto Sans CJK SC"/>
          <w:b/>
          <w:color w:val="2053A3"/>
          <w:sz w:val="26"/>
        </w:rPr>
        <w:t>1. P0-02 映射决议</w:t>
      </w:r>
    </w:p>
    <w:p>
      <w:r>
        <w:rPr>
          <w:rFonts w:ascii="Noto Sans CJK SC" w:hAnsi="Noto Sans CJK SC" w:eastAsia="Noto Sans CJK SC"/>
          <w:b w:val="0"/>
          <w:color w:val="233042"/>
          <w:sz w:val="18"/>
        </w:rPr>
        <w:t>本任务只做“归属与迁移方向冻结”，不在此阶段重写代码。所有现有功能必须映射到唯一目标 Domain；无法立即拆除的历史实现可暂留，但必须通过 Legacy Register / Facade 受控，且禁止新增跨域耦合。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9"/>
        <w:gridCol w:w="5329"/>
        <w:gridCol w:w="5329"/>
      </w:tblGrid>
      <w:tr>
        <w:trPr>
          <w:trHeight w:hRule="atLeast"/>
          <w:tblHeader w:val="true"/>
        </w:trPr>
        <w:tc>
          <w:tcPr>
            <w:tcW w:type="dxa" w:w="181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决议项</w:t>
            </w:r>
          </w:p>
        </w:tc>
        <w:tc>
          <w:tcPr>
            <w:tcW w:type="dxa" w:w="623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V1 决议</w:t>
            </w:r>
          </w:p>
        </w:tc>
        <w:tc>
          <w:tcPr>
            <w:tcW w:type="dxa" w:w="6123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P1 控制要求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目标边界</w:t>
            </w:r>
          </w:p>
        </w:tc>
        <w:tc>
          <w:tcPr>
            <w:tcW w:type="dxa" w:w="623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严格继承 P0-01：M01/M02/M03/M04~M10；M03A 为 M03 内部模块。</w:t>
            </w:r>
          </w:p>
        </w:tc>
        <w:tc>
          <w:tcPr>
            <w:tcW w:type="dxa" w:w="6123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不得因当前代码位置反向改变一级边界。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EBMS 归位</w:t>
            </w:r>
          </w:p>
        </w:tc>
        <w:tc>
          <w:tcPr>
            <w:tcW w:type="dxa" w:w="623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保留管理工作面；销售/交付/研发/质量/财经专业逻辑逐步归各中心。</w:t>
            </w:r>
          </w:p>
        </w:tc>
        <w:tc>
          <w:tcPr>
            <w:tcW w:type="dxa" w:w="6123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EBMS 只消费 Result / Exception / Capability / Evidence。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交付中台</w:t>
            </w:r>
          </w:p>
        </w:tc>
        <w:tc>
          <w:tcPr>
            <w:tcW w:type="dxa" w:w="623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订单履约、物料、采购、计划、产能、生产、物流、交付归 M06。</w:t>
            </w:r>
          </w:p>
        </w:tc>
        <w:tc>
          <w:tcPr>
            <w:tcW w:type="dxa" w:w="6123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不得把 EBOM、销售商务、会计事实变成 M06 Owner。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恒聘通</w:t>
            </w:r>
          </w:p>
        </w:tc>
        <w:tc>
          <w:tcPr>
            <w:tcW w:type="dxa" w:w="623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招聘/入职/培训/考勤/资产/行政/IT/员工服务归 M07；Person/Org/Position 主数据归 M01。</w:t>
            </w:r>
          </w:p>
        </w:tc>
        <w:tc>
          <w:tcPr>
            <w:tcW w:type="dxa" w:w="6123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恒聘通改为引用 AEOS Master，不形成第二主数据 Owner。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研发</w:t>
            </w:r>
          </w:p>
        </w:tc>
        <w:tc>
          <w:tcPr>
            <w:tcW w:type="dxa" w:w="623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产品/项目/规格/样品/BOM/ECO/Release/技术转移归 M04；质量 Guard 由 M08 提供。</w:t>
            </w:r>
          </w:p>
        </w:tc>
        <w:tc>
          <w:tcPr>
            <w:tcW w:type="dxa" w:w="6123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研发专业事实保持独立，跨域只走标准契约。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Legacy</w:t>
            </w:r>
          </w:p>
        </w:tc>
        <w:tc>
          <w:tcPr>
            <w:tcW w:type="dxa" w:w="623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暂时无法归位的历史依赖进入 Legacy Dependency Register。</w:t>
            </w:r>
          </w:p>
        </w:tc>
        <w:tc>
          <w:tcPr>
            <w:tcW w:type="dxa" w:w="6123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每项必须有目标域、Owner、替换方式与到期日；禁止新增。</w:t>
            </w:r>
          </w:p>
        </w:tc>
      </w:tr>
    </w:tbl>
    <w:p>
      <w:pPr>
        <w:spacing w:before="0" w:after="60" w:line="240" w:lineRule="auto"/>
      </w:pPr>
    </w:p>
    <w:p>
      <w:pPr>
        <w:spacing w:before="120" w:after="80"/>
      </w:pPr>
      <w:r>
        <w:rPr>
          <w:rFonts w:ascii="Noto Sans CJK SC" w:hAnsi="Noto Sans CJK SC" w:eastAsia="Noto Sans CJK SC"/>
          <w:b/>
          <w:color w:val="2053A3"/>
          <w:sz w:val="26"/>
        </w:rPr>
        <w:t>2. 映射状态定义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9"/>
        <w:gridCol w:w="5329"/>
        <w:gridCol w:w="5329"/>
      </w:tblGrid>
      <w:tr>
        <w:trPr>
          <w:tblHeader w:val="true"/>
        </w:trPr>
        <w:tc>
          <w:tcPr>
            <w:tcW w:type="dxa" w:w="226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527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6633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使用条件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RETAIN / REFINE</w:t>
            </w:r>
          </w:p>
        </w:tc>
        <w:tc>
          <w:tcPr>
            <w:tcW w:type="dxa" w:w="527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保留在目标域并按目标边界重构</w:t>
            </w:r>
          </w:p>
        </w:tc>
        <w:tc>
          <w:tcPr>
            <w:tcW w:type="dxa" w:w="6633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当前职责与目标 Domain 一致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EXTRACT</w:t>
            </w:r>
          </w:p>
        </w:tc>
        <w:tc>
          <w:tcPr>
            <w:tcW w:type="dxa" w:w="527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从当前系统抽离到其他目标 Domain</w:t>
            </w:r>
          </w:p>
        </w:tc>
        <w:tc>
          <w:tcPr>
            <w:tcW w:type="dxa" w:w="6633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当前系统承载了不属于自身的专业逻辑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REFERENCE ONLY</w:t>
            </w:r>
          </w:p>
        </w:tc>
        <w:tc>
          <w:tcPr>
            <w:tcW w:type="dxa" w:w="527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不再拥有正式事实，仅引用目标 Owner</w:t>
            </w:r>
          </w:p>
        </w:tc>
        <w:tc>
          <w:tcPr>
            <w:tcW w:type="dxa" w:w="6633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跨域对象需要读取但不应复制状态机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TRANSFER OWNERSHIP</w:t>
            </w:r>
          </w:p>
        </w:tc>
        <w:tc>
          <w:tcPr>
            <w:tcW w:type="dxa" w:w="527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正式 Owner 转移，共享使用</w:t>
            </w:r>
          </w:p>
        </w:tc>
        <w:tc>
          <w:tcPr>
            <w:tcW w:type="dxa" w:w="6633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典型：恒聘通 Person/Org/Position → M01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SPLIT RESPONSIBILITY</w:t>
            </w:r>
          </w:p>
        </w:tc>
        <w:tc>
          <w:tcPr>
            <w:tcW w:type="dxa" w:w="527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按职责拆分 Owner/Guard/消费方</w:t>
            </w:r>
          </w:p>
        </w:tc>
        <w:tc>
          <w:tcPr>
            <w:tcW w:type="dxa" w:w="6633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典型：R&amp;D Release + Quality Guard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HOLD / CLASSIFY</w:t>
            </w:r>
          </w:p>
        </w:tc>
        <w:tc>
          <w:tcPr>
            <w:tcW w:type="dxa" w:w="527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暂存于 legacy，等待细化盘点</w:t>
            </w:r>
          </w:p>
        </w:tc>
        <w:tc>
          <w:tcPr>
            <w:tcW w:type="dxa" w:w="6633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源文件未给出足够细项或短期不能迁移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REPLACE</w:t>
            </w:r>
          </w:p>
        </w:tc>
        <w:tc>
          <w:tcPr>
            <w:tcW w:type="dxa" w:w="527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旧共性能力由共享平台能力替换</w:t>
            </w:r>
          </w:p>
        </w:tc>
        <w:tc>
          <w:tcPr>
            <w:tcW w:type="dxa" w:w="6633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典型：x-user-id → M01 Identity Service</w:t>
            </w:r>
          </w:p>
        </w:tc>
      </w:tr>
    </w:tbl>
    <w:p>
      <w:pPr>
        <w:spacing w:before="120" w:after="80"/>
      </w:pPr>
      <w:r>
        <w:rPr>
          <w:rFonts w:ascii="Noto Sans CJK SC" w:hAnsi="Noto Sans CJK SC" w:eastAsia="Noto Sans CJK SC"/>
          <w:b/>
          <w:color w:val="2053A3"/>
          <w:sz w:val="26"/>
        </w:rPr>
        <w:t>3. Current → Target 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97"/>
        <w:gridCol w:w="3997"/>
        <w:gridCol w:w="3997"/>
        <w:gridCol w:w="3997"/>
      </w:tblGrid>
      <w:tr>
        <w:trPr>
          <w:tblHeader w:val="true"/>
        </w:trPr>
        <w:tc>
          <w:tcPr>
            <w:tcW w:type="dxa" w:w="181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当前系统</w:t>
            </w:r>
          </w:p>
        </w:tc>
        <w:tc>
          <w:tcPr>
            <w:tcW w:type="dxa" w:w="4139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主要保留</w:t>
            </w:r>
          </w:p>
        </w:tc>
        <w:tc>
          <w:tcPr>
            <w:tcW w:type="dxa" w:w="5499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主要抽离/转移</w:t>
            </w:r>
          </w:p>
        </w:tc>
        <w:tc>
          <w:tcPr>
            <w:tcW w:type="dxa" w:w="2835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目标结果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EBMS</w:t>
            </w:r>
          </w:p>
        </w:tc>
        <w:tc>
          <w:tcPr>
            <w:tcW w:type="dxa" w:w="4139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M03 管理工作面、M03A 产销自治</w:t>
            </w:r>
          </w:p>
        </w:tc>
        <w:tc>
          <w:tcPr>
            <w:tcW w:type="dxa" w:w="5499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Sales→M05；Delivery→M06；R&amp;D→M04；Quality→M08；Finance→M09；共享能力→M01/M02/M11</w:t>
            </w:r>
          </w:p>
        </w:tc>
        <w:tc>
          <w:tcPr>
            <w:tcW w:type="dxa" w:w="2835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EBMS 回归“管理结果/异常/决策/证据”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交付中台</w:t>
            </w:r>
          </w:p>
        </w:tc>
        <w:tc>
          <w:tcPr>
            <w:tcW w:type="dxa" w:w="4139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订单履约/需求/物料/采购/计划/产能/生产/物流/交付</w:t>
            </w:r>
          </w:p>
        </w:tc>
        <w:tc>
          <w:tcPr>
            <w:tcW w:type="dxa" w:w="5499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研发 EBOM→仅引用 M04；销售商务→仅引用 M05；财务事实→仅引用 M09</w:t>
            </w:r>
          </w:p>
        </w:tc>
        <w:tc>
          <w:tcPr>
            <w:tcW w:type="dxa" w:w="2835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M06 成为唯一 Delivery 专业域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恒聘通</w:t>
            </w:r>
          </w:p>
        </w:tc>
        <w:tc>
          <w:tcPr>
            <w:tcW w:type="dxa" w:w="4139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招聘/入职/培训/考勤/资产/行政/IT/员工服务</w:t>
            </w:r>
          </w:p>
        </w:tc>
        <w:tc>
          <w:tcPr>
            <w:tcW w:type="dxa" w:w="5499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Person/Organization/Position Owner→M01</w:t>
            </w:r>
          </w:p>
        </w:tc>
        <w:tc>
          <w:tcPr>
            <w:tcW w:type="dxa" w:w="2835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M07 成为服务域，主数据单源引用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研发模块</w:t>
            </w:r>
          </w:p>
        </w:tc>
        <w:tc>
          <w:tcPr>
            <w:tcW w:type="dxa" w:w="4139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产品/项目/规格/样品/Requirement/Drawing/Model/BOM/ECO/Release/技术转移</w:t>
            </w:r>
          </w:p>
        </w:tc>
        <w:tc>
          <w:tcPr>
            <w:tcW w:type="dxa" w:w="5499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质量 Evidence/Guard 与 M08 协同；人员组织引用 M01</w:t>
            </w:r>
          </w:p>
        </w:tc>
        <w:tc>
          <w:tcPr>
            <w:tcW w:type="dxa" w:w="2835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M04 成为独立 R&amp;D 专业域</w:t>
            </w:r>
          </w:p>
        </w:tc>
      </w:tr>
    </w:tbl>
    <w:p>
      <w:pPr>
        <w:spacing w:before="120" w:after="80"/>
      </w:pPr>
      <w:r>
        <w:rPr>
          <w:rFonts w:ascii="Noto Sans CJK SC" w:hAnsi="Noto Sans CJK SC" w:eastAsia="Noto Sans CJK SC"/>
          <w:b/>
          <w:color w:val="2053A3"/>
          <w:sz w:val="26"/>
        </w:rPr>
        <w:t>4. Module Mapping Matrix V1（详细）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98"/>
        <w:gridCol w:w="1998"/>
        <w:gridCol w:w="1998"/>
        <w:gridCol w:w="1998"/>
        <w:gridCol w:w="1998"/>
        <w:gridCol w:w="1998"/>
        <w:gridCol w:w="1998"/>
        <w:gridCol w:w="1998"/>
      </w:tblGrid>
      <w:tr>
        <w:trPr>
          <w:tblHeader w:val="true"/>
        </w:trPr>
        <w:tc>
          <w:tcPr>
            <w:tcW w:type="dxa" w:w="113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7365D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Mapping ID</w:t>
            </w:r>
          </w:p>
        </w:tc>
        <w:tc>
          <w:tcPr>
            <w:tcW w:type="dxa" w:w="147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7365D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Current System</w:t>
            </w:r>
          </w:p>
        </w:tc>
        <w:tc>
          <w:tcPr>
            <w:tcW w:type="dxa" w:w="3345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7365D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Current Area / Object</w:t>
            </w:r>
          </w:p>
        </w:tc>
        <w:tc>
          <w:tcPr>
            <w:tcW w:type="dxa" w:w="232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7365D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Target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7365D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Disposition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7365D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3628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7365D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P1 Action / Control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17365D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依据</w:t>
            </w:r>
          </w:p>
        </w:tc>
      </w:tr>
      <w:tr>
        <w:tc>
          <w:tcPr>
            <w:tcW w:type="dxa" w:w="113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MAP-001</w:t>
            </w:r>
          </w:p>
        </w:tc>
        <w:tc>
          <w:tcPr>
            <w:tcW w:type="dxa" w:w="147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现有 EBMS</w:t>
            </w:r>
          </w:p>
        </w:tc>
        <w:tc>
          <w:tcPr>
            <w:tcW w:type="dxa" w:w="3345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管理结果、异常、决策、证据、目标/KPI、项目组合、Value View</w:t>
            </w:r>
          </w:p>
        </w:tc>
        <w:tc>
          <w:tcPr>
            <w:tcW w:type="dxa" w:w="232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M03</w:t>
              <w:br/>
              <w:t>EBMS 企业经营管理与决策系统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RETAIN / REFINE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EBMS Lead</w:t>
            </w:r>
          </w:p>
        </w:tc>
        <w:tc>
          <w:tcPr>
            <w:tcW w:type="dxa" w:w="3628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按 management 域保留；禁止继续吸收专业执行逻辑。</w:t>
            </w:r>
          </w:p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边界：M03 只拥有管理工作面；专业事实由各中心输出 Result/Evidence。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EBM-001 / P1-01 / M03</w:t>
            </w:r>
          </w:p>
        </w:tc>
      </w:tr>
      <w:tr>
        <w:tc>
          <w:tcPr>
            <w:tcW w:type="dxa" w:w="113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MAP-002</w:t>
            </w:r>
          </w:p>
        </w:tc>
        <w:tc>
          <w:tcPr>
            <w:tcW w:type="dxa" w:w="147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现有 EBMS</w:t>
            </w:r>
          </w:p>
        </w:tc>
        <w:tc>
          <w:tcPr>
            <w:tcW w:type="dxa" w:w="3345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“产销自治”经营感知、每日六问、TOP 风险、What-if、总经理 Agent</w:t>
            </w:r>
          </w:p>
        </w:tc>
        <w:tc>
          <w:tcPr>
            <w:tcW w:type="dxa" w:w="232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M03A（隶属 M03）</w:t>
              <w:br/>
              <w:t>EBMS·产销自治模块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RETAIN（内部模块）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EBMS Lead / AI Lead</w:t>
            </w:r>
          </w:p>
        </w:tc>
        <w:tc>
          <w:tcPr>
            <w:tcW w:type="dxa" w:w="3628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作为 M03 内部模块保留，跨域通过 Capability/Result/Evidence。</w:t>
            </w:r>
          </w:p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边界：只做跨中心编排与决策支持，不取得 Sales/Delivery/R&amp;D/Quality/Finance 事实 Owner。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M03A / P4-03~06</w:t>
            </w:r>
          </w:p>
        </w:tc>
      </w:tr>
      <w:tr>
        <w:tc>
          <w:tcPr>
            <w:tcW w:type="dxa" w:w="113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MAP-003</w:t>
            </w:r>
          </w:p>
        </w:tc>
        <w:tc>
          <w:tcPr>
            <w:tcW w:type="dxa" w:w="147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现有 EBMS</w:t>
            </w:r>
          </w:p>
        </w:tc>
        <w:tc>
          <w:tcPr>
            <w:tcW w:type="dxa" w:w="3345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客户、线索、询价、核价、报价、合同、订单商务信息</w:t>
            </w:r>
          </w:p>
        </w:tc>
        <w:tc>
          <w:tcPr>
            <w:tcW w:type="dxa" w:w="232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M05</w:t>
              <w:br/>
              <w:t>销售自治中心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EXTRACT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Sales Lead</w:t>
            </w:r>
          </w:p>
        </w:tc>
        <w:tc>
          <w:tcPr>
            <w:tcW w:type="dxa" w:w="3628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从 EBMS 专业逻辑拆出；EBMS 仅消费 Sales Result/Capability。</w:t>
            </w:r>
          </w:p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边界：Customer/Lead/Inquiry/Quote/Contract/OrderQuality 归 M05。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P1-01 / SAL-010 / M05</w:t>
            </w:r>
          </w:p>
        </w:tc>
      </w:tr>
      <w:tr>
        <w:tc>
          <w:tcPr>
            <w:tcW w:type="dxa" w:w="113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MAP-004</w:t>
            </w:r>
          </w:p>
        </w:tc>
        <w:tc>
          <w:tcPr>
            <w:tcW w:type="dxa" w:w="147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现有 EBMS</w:t>
            </w:r>
          </w:p>
        </w:tc>
        <w:tc>
          <w:tcPr>
            <w:tcW w:type="dxa" w:w="3345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订单执行、物料、采购、计划、产能、生产、物流、交付等履约逻辑</w:t>
            </w:r>
          </w:p>
        </w:tc>
        <w:tc>
          <w:tcPr>
            <w:tcW w:type="dxa" w:w="232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M06</w:t>
              <w:br/>
              <w:t>交付自治中心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EXTRACT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Delivery Lead</w:t>
            </w:r>
          </w:p>
        </w:tc>
        <w:tc>
          <w:tcPr>
            <w:tcW w:type="dxa" w:w="3628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从 EBMS 归入 Delivery Domain；建立 Facade 防止新增直连。</w:t>
            </w:r>
          </w:p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边界：履约事实归 M06；销售商务、研发 EBOM、会计事实不得转为 M06 Owner。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P1-01 / DLV-010 / M06</w:t>
            </w:r>
          </w:p>
        </w:tc>
      </w:tr>
      <w:tr>
        <w:tc>
          <w:tcPr>
            <w:tcW w:type="dxa" w:w="113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MAP-005</w:t>
            </w:r>
          </w:p>
        </w:tc>
        <w:tc>
          <w:tcPr>
            <w:tcW w:type="dxa" w:w="147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现有 EBMS</w:t>
            </w:r>
          </w:p>
        </w:tc>
        <w:tc>
          <w:tcPr>
            <w:tcW w:type="dxa" w:w="3345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产品、BOM、研发项目、规格、样品、技术转移等研发逻辑</w:t>
            </w:r>
          </w:p>
        </w:tc>
        <w:tc>
          <w:tcPr>
            <w:tcW w:type="dxa" w:w="232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M04</w:t>
              <w:br/>
              <w:t>研发自治中心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EXTRACT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R&amp;D Lead</w:t>
            </w:r>
          </w:p>
        </w:tc>
        <w:tc>
          <w:tcPr>
            <w:tcW w:type="dxa" w:w="3628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从 EBMS 逻辑拆分到 R&amp;D Domain；EBMS 仅看 Engineering Result。</w:t>
            </w:r>
          </w:p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边界：研发专业对象/状态机/Release 归 M04。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P1-04 / RND-010 / M04</w:t>
            </w:r>
          </w:p>
        </w:tc>
      </w:tr>
      <w:tr>
        <w:tc>
          <w:tcPr>
            <w:tcW w:type="dxa" w:w="113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MAP-006</w:t>
            </w:r>
          </w:p>
        </w:tc>
        <w:tc>
          <w:tcPr>
            <w:tcW w:type="dxa" w:w="147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现有 EBMS</w:t>
            </w:r>
          </w:p>
        </w:tc>
        <w:tc>
          <w:tcPr>
            <w:tcW w:type="dxa" w:w="3345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自检、规则、反馈、测试报告等质量逻辑</w:t>
            </w:r>
          </w:p>
        </w:tc>
        <w:tc>
          <w:tcPr>
            <w:tcW w:type="dxa" w:w="232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M08</w:t>
              <w:br/>
              <w:t>品控自治中心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EXTRACT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Quality Lead</w:t>
            </w:r>
          </w:p>
        </w:tc>
        <w:tc>
          <w:tcPr>
            <w:tcW w:type="dxa" w:w="3628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归入 Quality Domain；保留标准 Result/Guard/Evidence 输出。</w:t>
            </w:r>
          </w:p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边界：Inspection/Test/NC/CAPA/Complaint/ReleaseGate 归 M08；关键质量风险可阻断 Release/Shipment。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P1-05 / QAL-010 / M08</w:t>
            </w:r>
          </w:p>
        </w:tc>
      </w:tr>
      <w:tr>
        <w:tc>
          <w:tcPr>
            <w:tcW w:type="dxa" w:w="113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MAP-007</w:t>
            </w:r>
          </w:p>
        </w:tc>
        <w:tc>
          <w:tcPr>
            <w:tcW w:type="dxa" w:w="147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现有 EBMS</w:t>
            </w:r>
          </w:p>
        </w:tc>
        <w:tc>
          <w:tcPr>
            <w:tcW w:type="dxa" w:w="3345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订单成本、毛利、现金、费用、预算等经营财务事实</w:t>
            </w:r>
          </w:p>
        </w:tc>
        <w:tc>
          <w:tcPr>
            <w:tcW w:type="dxa" w:w="232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M09</w:t>
              <w:br/>
              <w:t>财经自治中心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EXTRACT / RETIRE DUPLICATE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Finance Lead</w:t>
            </w:r>
          </w:p>
        </w:tc>
        <w:tc>
          <w:tcPr>
            <w:tcW w:type="dxa" w:w="3628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停止 EBMS 独立维护第二套财务事实；改为消费 Finance Capability/Result。</w:t>
            </w:r>
          </w:p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边界：Revenue/Cost/Margin/Cash/Budget/AR/AP 为 M09 正式事实。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P1-05 / FIN-010 / M09</w:t>
            </w:r>
          </w:p>
        </w:tc>
      </w:tr>
      <w:tr>
        <w:tc>
          <w:tcPr>
            <w:tcW w:type="dxa" w:w="113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MAP-008</w:t>
            </w:r>
          </w:p>
        </w:tc>
        <w:tc>
          <w:tcPr>
            <w:tcW w:type="dxa" w:w="147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现有 EBMS</w:t>
            </w:r>
          </w:p>
        </w:tc>
        <w:tc>
          <w:tcPr>
            <w:tcW w:type="dxa" w:w="3345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platform 目录中的共性能力（身份、对象、事件、证据、集成等）</w:t>
            </w:r>
          </w:p>
        </w:tc>
        <w:tc>
          <w:tcPr>
            <w:tcW w:type="dxa" w:w="232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M01/M02/M11</w:t>
              <w:br/>
              <w:t>共享底座 / 集成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SPLIT / REFERENCE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Platform Lead / Data Lead / Integration Lead</w:t>
            </w:r>
          </w:p>
        </w:tc>
        <w:tc>
          <w:tcPr>
            <w:tcW w:type="dxa" w:w="3628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P1 建立 platform facade；P2 再按正式契约替换。</w:t>
            </w:r>
          </w:p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边界：共性能力按 Kernel/Data/Integration 归属；专业业务不得沉入共享平台。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P1-01 / P1-07 / P2</w:t>
            </w:r>
          </w:p>
        </w:tc>
      </w:tr>
      <w:tr>
        <w:tc>
          <w:tcPr>
            <w:tcW w:type="dxa" w:w="113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MAP-009</w:t>
            </w:r>
          </w:p>
        </w:tc>
        <w:tc>
          <w:tcPr>
            <w:tcW w:type="dxa" w:w="147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现有 EBMS</w:t>
            </w:r>
          </w:p>
        </w:tc>
        <w:tc>
          <w:tcPr>
            <w:tcW w:type="dxa" w:w="3345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legacy 目录及无法立即判定的历史依赖</w:t>
            </w:r>
          </w:p>
        </w:tc>
        <w:tc>
          <w:tcPr>
            <w:tcW w:type="dxa" w:w="232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M00 + 原目标域</w:t>
              <w:br/>
              <w:t>治理/迁移控制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HOLD / CLASSIFY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Chief Architect</w:t>
            </w:r>
          </w:p>
        </w:tc>
        <w:tc>
          <w:tcPr>
            <w:tcW w:type="dxa" w:w="3628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进入 Legacy Dependency Register；先禁止新增耦合，再逐项迁移。</w:t>
            </w:r>
          </w:p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边界：不得形成新的事实 Owner；每项必须登记目标域、Owner、到期日。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P1-06 / M00</w:t>
            </w:r>
          </w:p>
        </w:tc>
      </w:tr>
      <w:tr>
        <w:tc>
          <w:tcPr>
            <w:tcW w:type="dxa" w:w="113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MAP-010</w:t>
            </w:r>
          </w:p>
        </w:tc>
        <w:tc>
          <w:tcPr>
            <w:tcW w:type="dxa" w:w="147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现有 EBMS</w:t>
            </w:r>
          </w:p>
        </w:tc>
        <w:tc>
          <w:tcPr>
            <w:tcW w:type="dxa" w:w="3345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生产环境轻鉴权 x-user-id / 本地身份入口</w:t>
            </w:r>
          </w:p>
        </w:tc>
        <w:tc>
          <w:tcPr>
            <w:tcW w:type="dxa" w:w="232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M01</w:t>
              <w:br/>
              <w:t>AEOS Kernel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REPLACE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Platform Lead</w:t>
            </w:r>
          </w:p>
        </w:tc>
        <w:tc>
          <w:tcPr>
            <w:tcW w:type="dxa" w:w="3628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P2 用正式 Identity Service 替换；P1 仅做兼容 Facade。</w:t>
            </w:r>
          </w:p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边界：Identity/Session/Token/RoleContext 统一由 M01 提供。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P2-01 / KRN-010</w:t>
            </w:r>
          </w:p>
        </w:tc>
      </w:tr>
      <w:tr>
        <w:tc>
          <w:tcPr>
            <w:tcW w:type="dxa" w:w="113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MAP-011</w:t>
            </w:r>
          </w:p>
        </w:tc>
        <w:tc>
          <w:tcPr>
            <w:tcW w:type="dxa" w:w="147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现有交付中台</w:t>
            </w:r>
          </w:p>
        </w:tc>
        <w:tc>
          <w:tcPr>
            <w:tcW w:type="dxa" w:w="3345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订单执行 / Demand / 需求展开</w:t>
            </w:r>
          </w:p>
        </w:tc>
        <w:tc>
          <w:tcPr>
            <w:tcW w:type="dxa" w:w="232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M06</w:t>
              <w:br/>
              <w:t>交付自治中心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RETAIN / MODULARIZE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Delivery Lead</w:t>
            </w:r>
          </w:p>
        </w:tc>
        <w:tc>
          <w:tcPr>
            <w:tcW w:type="dxa" w:w="3628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按 Delivery Domain 模块化，禁止跨域直写。</w:t>
            </w:r>
          </w:p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边界：OrderExecution/Demand 为 Delivery 核心事实。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P1-02 / DLV-010</w:t>
            </w:r>
          </w:p>
        </w:tc>
      </w:tr>
      <w:tr>
        <w:tc>
          <w:tcPr>
            <w:tcW w:type="dxa" w:w="113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MAP-012</w:t>
            </w:r>
          </w:p>
        </w:tc>
        <w:tc>
          <w:tcPr>
            <w:tcW w:type="dxa" w:w="147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现有交付中台</w:t>
            </w:r>
          </w:p>
        </w:tc>
        <w:tc>
          <w:tcPr>
            <w:tcW w:type="dxa" w:w="3345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物料 / Shortage / 采购 / 供应商协同</w:t>
            </w:r>
          </w:p>
        </w:tc>
        <w:tc>
          <w:tcPr>
            <w:tcW w:type="dxa" w:w="232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M06</w:t>
              <w:br/>
              <w:t>交付自治中心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RETAIN / MODULARIZE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Delivery Lead</w:t>
            </w:r>
          </w:p>
        </w:tc>
        <w:tc>
          <w:tcPr>
            <w:tcW w:type="dxa" w:w="3628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形成稳定服务边界与对象契约。</w:t>
            </w:r>
          </w:p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边界：Material/Procurement/Shortage 等履约对象归 M06。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P1-02 / DLV-010</w:t>
            </w:r>
          </w:p>
        </w:tc>
      </w:tr>
      <w:tr>
        <w:tc>
          <w:tcPr>
            <w:tcW w:type="dxa" w:w="113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MAP-013</w:t>
            </w:r>
          </w:p>
        </w:tc>
        <w:tc>
          <w:tcPr>
            <w:tcW w:type="dxa" w:w="147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现有交付中台</w:t>
            </w:r>
          </w:p>
        </w:tc>
        <w:tc>
          <w:tcPr>
            <w:tcW w:type="dxa" w:w="3345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计划 / 产能 / 生产</w:t>
            </w:r>
          </w:p>
        </w:tc>
        <w:tc>
          <w:tcPr>
            <w:tcW w:type="dxa" w:w="232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M06</w:t>
              <w:br/>
              <w:t>交付自治中心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RETAIN / MODULARIZE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Delivery Lead</w:t>
            </w:r>
          </w:p>
        </w:tc>
        <w:tc>
          <w:tcPr>
            <w:tcW w:type="dxa" w:w="3628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按子域拆分，向 EBMS 输出 ScheduleFeasibility/DeliveryForecast 等能力。</w:t>
            </w:r>
          </w:p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边界：Plan/Capacity/Production 为 M06 专业能力。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P1-02 / DLV-040</w:t>
            </w:r>
          </w:p>
        </w:tc>
      </w:tr>
      <w:tr>
        <w:tc>
          <w:tcPr>
            <w:tcW w:type="dxa" w:w="113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MAP-014</w:t>
            </w:r>
          </w:p>
        </w:tc>
        <w:tc>
          <w:tcPr>
            <w:tcW w:type="dxa" w:w="147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现有交付中台</w:t>
            </w:r>
          </w:p>
        </w:tc>
        <w:tc>
          <w:tcPr>
            <w:tcW w:type="dxa" w:w="3345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物流 / Shipment / Delivery</w:t>
            </w:r>
          </w:p>
        </w:tc>
        <w:tc>
          <w:tcPr>
            <w:tcW w:type="dxa" w:w="232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M06</w:t>
              <w:br/>
              <w:t>交付自治中心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RETAIN / MODULARIZE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Delivery Lead</w:t>
            </w:r>
          </w:p>
        </w:tc>
        <w:tc>
          <w:tcPr>
            <w:tcW w:type="dxa" w:w="3628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统一对象/事件，纳入 Order-to-Delivery 试点。</w:t>
            </w:r>
          </w:p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边界：Logistics/Shipment/Delivery 归 M06。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DLV-020 / DLV-030</w:t>
            </w:r>
          </w:p>
        </w:tc>
      </w:tr>
      <w:tr>
        <w:tc>
          <w:tcPr>
            <w:tcW w:type="dxa" w:w="113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MAP-015</w:t>
            </w:r>
          </w:p>
        </w:tc>
        <w:tc>
          <w:tcPr>
            <w:tcW w:type="dxa" w:w="147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现有交付中台</w:t>
            </w:r>
          </w:p>
        </w:tc>
        <w:tc>
          <w:tcPr>
            <w:tcW w:type="dxa" w:w="3345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研发 EBOM / 图纸 / Release 数据</w:t>
            </w:r>
          </w:p>
        </w:tc>
        <w:tc>
          <w:tcPr>
            <w:tcW w:type="dxa" w:w="232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M04</w:t>
              <w:br/>
              <w:t>研发自治中心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REFERENCE ONLY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R&amp;D Lead</w:t>
            </w:r>
          </w:p>
        </w:tc>
        <w:tc>
          <w:tcPr>
            <w:tcW w:type="dxa" w:w="3628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停止形成本地第二 Owner；通过 Object ID/API/Event 引用。</w:t>
            </w:r>
          </w:p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边界：M04 为研发正式 Owner；M06 只能引用已发布工程对象。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M06 No-Go / CL-03</w:t>
            </w:r>
          </w:p>
        </w:tc>
      </w:tr>
      <w:tr>
        <w:tc>
          <w:tcPr>
            <w:tcW w:type="dxa" w:w="113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MAP-016</w:t>
            </w:r>
          </w:p>
        </w:tc>
        <w:tc>
          <w:tcPr>
            <w:tcW w:type="dxa" w:w="147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现有交付中台</w:t>
            </w:r>
          </w:p>
        </w:tc>
        <w:tc>
          <w:tcPr>
            <w:tcW w:type="dxa" w:w="3345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销售商务、客户承诺、合同条款</w:t>
            </w:r>
          </w:p>
        </w:tc>
        <w:tc>
          <w:tcPr>
            <w:tcW w:type="dxa" w:w="232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M05</w:t>
              <w:br/>
              <w:t>销售自治中心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REFERENCE ONLY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Sales Lead</w:t>
            </w:r>
          </w:p>
        </w:tc>
        <w:tc>
          <w:tcPr>
            <w:tcW w:type="dxa" w:w="3628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以 Capability/Result 支撑订单承诺，不复制商务状态机。</w:t>
            </w:r>
          </w:p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边界：商业事实归 M05；M06 提供可交付性验证能力。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M05 No-Go / M06 No-Go</w:t>
            </w:r>
          </w:p>
        </w:tc>
      </w:tr>
      <w:tr>
        <w:tc>
          <w:tcPr>
            <w:tcW w:type="dxa" w:w="113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MAP-017</w:t>
            </w:r>
          </w:p>
        </w:tc>
        <w:tc>
          <w:tcPr>
            <w:tcW w:type="dxa" w:w="147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现有交付中台</w:t>
            </w:r>
          </w:p>
        </w:tc>
        <w:tc>
          <w:tcPr>
            <w:tcW w:type="dxa" w:w="3345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会计/财务正式事实</w:t>
            </w:r>
          </w:p>
        </w:tc>
        <w:tc>
          <w:tcPr>
            <w:tcW w:type="dxa" w:w="232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M09</w:t>
              <w:br/>
              <w:t>财经自治中心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REFERENCE ONLY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Finance Lead</w:t>
            </w:r>
          </w:p>
        </w:tc>
        <w:tc>
          <w:tcPr>
            <w:tcW w:type="dxa" w:w="3628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M06 输出履约 Result，财经形成成本/毛利/现金事实。</w:t>
            </w:r>
          </w:p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边界：正式财务事实归 M09。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M06 No-Go / FIN-020</w:t>
            </w:r>
          </w:p>
        </w:tc>
      </w:tr>
      <w:tr>
        <w:tc>
          <w:tcPr>
            <w:tcW w:type="dxa" w:w="113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MAP-018</w:t>
            </w:r>
          </w:p>
        </w:tc>
        <w:tc>
          <w:tcPr>
            <w:tcW w:type="dxa" w:w="147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现有恒聘通</w:t>
            </w:r>
          </w:p>
        </w:tc>
        <w:tc>
          <w:tcPr>
            <w:tcW w:type="dxa" w:w="3345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Person / Organization / Position 主数据</w:t>
            </w:r>
          </w:p>
        </w:tc>
        <w:tc>
          <w:tcPr>
            <w:tcW w:type="dxa" w:w="232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M01</w:t>
              <w:br/>
              <w:t>AEOS Kernel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TRANSFER OWNERSHIP / REFERENCE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Platform Lead</w:t>
            </w:r>
          </w:p>
        </w:tc>
        <w:tc>
          <w:tcPr>
            <w:tcW w:type="dxa" w:w="3628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P1 先停止扩展第二套主数据；P2 接入 Org Capability。</w:t>
            </w:r>
          </w:p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边界：Person/Org/Position 主数据 Owner 归 AEOS；恒聘通只引用。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P1-03 / SUP-001 / P2-02</w:t>
            </w:r>
          </w:p>
        </w:tc>
      </w:tr>
      <w:tr>
        <w:tc>
          <w:tcPr>
            <w:tcW w:type="dxa" w:w="113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MAP-019</w:t>
            </w:r>
          </w:p>
        </w:tc>
        <w:tc>
          <w:tcPr>
            <w:tcW w:type="dxa" w:w="147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现有恒聘通</w:t>
            </w:r>
          </w:p>
        </w:tc>
        <w:tc>
          <w:tcPr>
            <w:tcW w:type="dxa" w:w="3345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Recruitment / 招聘</w:t>
            </w:r>
          </w:p>
        </w:tc>
        <w:tc>
          <w:tcPr>
            <w:tcW w:type="dxa" w:w="232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M07</w:t>
              <w:br/>
              <w:t>人才与后勤服务中心（恒聘通）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RETAIN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Support Lead</w:t>
            </w:r>
          </w:p>
        </w:tc>
        <w:tc>
          <w:tcPr>
            <w:tcW w:type="dxa" w:w="3628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保留并模块化，输出 Recruitment Result。</w:t>
            </w:r>
          </w:p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边界：招聘业务属于 M07。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SUP-010 / SUP-030</w:t>
            </w:r>
          </w:p>
        </w:tc>
      </w:tr>
      <w:tr>
        <w:tc>
          <w:tcPr>
            <w:tcW w:type="dxa" w:w="113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MAP-020</w:t>
            </w:r>
          </w:p>
        </w:tc>
        <w:tc>
          <w:tcPr>
            <w:tcW w:type="dxa" w:w="147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现有恒聘通</w:t>
            </w:r>
          </w:p>
        </w:tc>
        <w:tc>
          <w:tcPr>
            <w:tcW w:type="dxa" w:w="3345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Onboarding / Training / Attendance</w:t>
            </w:r>
          </w:p>
        </w:tc>
        <w:tc>
          <w:tcPr>
            <w:tcW w:type="dxa" w:w="232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M07</w:t>
              <w:br/>
              <w:t>人才与后勤服务中心（恒聘通）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RETAIN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Support Lead</w:t>
            </w:r>
          </w:p>
        </w:tc>
        <w:tc>
          <w:tcPr>
            <w:tcW w:type="dxa" w:w="3628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统一使用 M01 Person/Org/Position/RoleContext。</w:t>
            </w:r>
          </w:p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边界：入职/培训/考勤业务属于 M07。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SUP-010 / SUP-020</w:t>
            </w:r>
          </w:p>
        </w:tc>
      </w:tr>
      <w:tr>
        <w:tc>
          <w:tcPr>
            <w:tcW w:type="dxa" w:w="113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MAP-021</w:t>
            </w:r>
          </w:p>
        </w:tc>
        <w:tc>
          <w:tcPr>
            <w:tcW w:type="dxa" w:w="147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现有恒聘通</w:t>
            </w:r>
          </w:p>
        </w:tc>
        <w:tc>
          <w:tcPr>
            <w:tcW w:type="dxa" w:w="3345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Asset / Admin / IT Service / Support Request</w:t>
            </w:r>
          </w:p>
        </w:tc>
        <w:tc>
          <w:tcPr>
            <w:tcW w:type="dxa" w:w="232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M07</w:t>
              <w:br/>
              <w:t>人才与后勤服务中心（恒聘通）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RETAIN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Support Lead</w:t>
            </w:r>
          </w:p>
        </w:tc>
        <w:tc>
          <w:tcPr>
            <w:tcW w:type="dxa" w:w="3628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形成 Support Result/SLA，后续接入 POMS。</w:t>
            </w:r>
          </w:p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边界：资产、行政、IT 与员工服务属于 M07。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SUP-010 / SUP-030 / SUP-050</w:t>
            </w:r>
          </w:p>
        </w:tc>
      </w:tr>
      <w:tr>
        <w:tc>
          <w:tcPr>
            <w:tcW w:type="dxa" w:w="113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MAP-022</w:t>
            </w:r>
          </w:p>
        </w:tc>
        <w:tc>
          <w:tcPr>
            <w:tcW w:type="dxa" w:w="147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现有研发模块 / EBMS研发逻辑</w:t>
            </w:r>
          </w:p>
        </w:tc>
        <w:tc>
          <w:tcPr>
            <w:tcW w:type="dxa" w:w="3345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Product / 研发项目 / Specification / Sample</w:t>
            </w:r>
          </w:p>
        </w:tc>
        <w:tc>
          <w:tcPr>
            <w:tcW w:type="dxa" w:w="232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M04</w:t>
              <w:br/>
              <w:t>研发自治中心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RETAIN / EXTRACT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R&amp;D Lead</w:t>
            </w:r>
          </w:p>
        </w:tc>
        <w:tc>
          <w:tcPr>
            <w:tcW w:type="dxa" w:w="3628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从 EBMS 逻辑彻底归位到 R&amp;D Domain。</w:t>
            </w:r>
          </w:p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边界：产品与工程对象、研发项目状态机归 M04。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P1-04 / RND-010</w:t>
            </w:r>
          </w:p>
        </w:tc>
      </w:tr>
      <w:tr>
        <w:tc>
          <w:tcPr>
            <w:tcW w:type="dxa" w:w="113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MAP-023</w:t>
            </w:r>
          </w:p>
        </w:tc>
        <w:tc>
          <w:tcPr>
            <w:tcW w:type="dxa" w:w="147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现有研发模块 / EBMS研发逻辑</w:t>
            </w:r>
          </w:p>
        </w:tc>
        <w:tc>
          <w:tcPr>
            <w:tcW w:type="dxa" w:w="3345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BOM / ECO / Release / 技术转移</w:t>
            </w:r>
          </w:p>
        </w:tc>
        <w:tc>
          <w:tcPr>
            <w:tcW w:type="dxa" w:w="232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M04</w:t>
              <w:br/>
              <w:t>研发自治中心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RETAIN / EXTRACT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R&amp;D Lead</w:t>
            </w:r>
          </w:p>
        </w:tc>
        <w:tc>
          <w:tcPr>
            <w:tcW w:type="dxa" w:w="3628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建立 R&amp;D Object Model 与 Release Gate 接口。</w:t>
            </w:r>
          </w:p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边界：正式 BOM/ECO/Release 为 M04 责任；发布需 Guard + 人类责任。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RND-001 / RND-030 / M04 No-Go</w:t>
            </w:r>
          </w:p>
        </w:tc>
      </w:tr>
      <w:tr>
        <w:tc>
          <w:tcPr>
            <w:tcW w:type="dxa" w:w="113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MAP-024</w:t>
            </w:r>
          </w:p>
        </w:tc>
        <w:tc>
          <w:tcPr>
            <w:tcW w:type="dxa" w:w="147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现有研发模块</w:t>
            </w:r>
          </w:p>
        </w:tc>
        <w:tc>
          <w:tcPr>
            <w:tcW w:type="dxa" w:w="3345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Requirement / Drawing / Feature / Model / Validation</w:t>
            </w:r>
          </w:p>
        </w:tc>
        <w:tc>
          <w:tcPr>
            <w:tcW w:type="dxa" w:w="232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M04</w:t>
              <w:br/>
              <w:t>研发自治中心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RETAIN / NORMALIZE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R&amp;D Lead</w:t>
            </w:r>
          </w:p>
        </w:tc>
        <w:tc>
          <w:tcPr>
            <w:tcW w:type="dxa" w:w="3628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按统一 Object ID/Event/Evidence 接入共享底座。</w:t>
            </w:r>
          </w:p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边界：上述对象在目标 R&amp;D Object Model 中统一。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RND-001 / RND-020</w:t>
            </w:r>
          </w:p>
        </w:tc>
      </w:tr>
      <w:tr>
        <w:tc>
          <w:tcPr>
            <w:tcW w:type="dxa" w:w="113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MAP-025</w:t>
            </w:r>
          </w:p>
        </w:tc>
        <w:tc>
          <w:tcPr>
            <w:tcW w:type="dxa" w:w="147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现有研发模块</w:t>
            </w:r>
          </w:p>
        </w:tc>
        <w:tc>
          <w:tcPr>
            <w:tcW w:type="dxa" w:w="3345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测试/质量放行相关证据与阻断</w:t>
            </w:r>
          </w:p>
        </w:tc>
        <w:tc>
          <w:tcPr>
            <w:tcW w:type="dxa" w:w="232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M08（Guard）+ M04（工程Owner）</w:t>
              <w:br/>
              <w:t>品控自治中心 + 研发自治中心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SPLIT RESPONSIBILITY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Quality Lead / R&amp;D Lead</w:t>
            </w:r>
          </w:p>
        </w:tc>
        <w:tc>
          <w:tcPr>
            <w:tcW w:type="dxa" w:w="3628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通过 Guard/Evidence 契约协同，避免把质量 Owner 内嵌到研发。</w:t>
            </w:r>
          </w:p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边界：工程定义与 Release Owner 在 M04；质量 Evidence/Guard 在 M08。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QAL-020 / QAL-030 / CL-03</w:t>
            </w:r>
          </w:p>
        </w:tc>
      </w:tr>
      <w:tr>
        <w:tc>
          <w:tcPr>
            <w:tcW w:type="dxa" w:w="113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MAP-026</w:t>
            </w:r>
          </w:p>
        </w:tc>
        <w:tc>
          <w:tcPr>
            <w:tcW w:type="dxa" w:w="147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现有研发模块</w:t>
            </w:r>
          </w:p>
        </w:tc>
        <w:tc>
          <w:tcPr>
            <w:tcW w:type="dxa" w:w="3345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人员/组织/岗位引用</w:t>
            </w:r>
          </w:p>
        </w:tc>
        <w:tc>
          <w:tcPr>
            <w:tcW w:type="dxa" w:w="2324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M01</w:t>
              <w:br/>
              <w:t>AEOS Kernel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REFERENCE ONLY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Platform Lead</w:t>
            </w:r>
          </w:p>
        </w:tc>
        <w:tc>
          <w:tcPr>
            <w:tcW w:type="dxa" w:w="3628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研发不再维护第二套组织人员主数据。</w:t>
            </w:r>
          </w:p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边界：Person/Org/Position/RoleContext 统一由 M01 提供。</w:t>
            </w:r>
          </w:p>
        </w:tc>
        <w:tc>
          <w:tcPr>
            <w:tcW w:type="dxa" w:w="1701"/>
            <w:tcBorders>
              <w:top w:val="single" w:sz="3" w:space="0" w:color="C9D5E6"/>
              <w:left w:val="single" w:sz="3" w:space="0" w:color="C9D5E6"/>
              <w:bottom w:val="single" w:sz="3" w:space="0" w:color="C9D5E6"/>
              <w:right w:val="single" w:sz="3" w:space="0" w:color="C9D5E6"/>
              <w:insideH w:val="single" w:sz="3" w:space="0" w:color="C9D5E6"/>
              <w:insideV w:val="single" w:sz="3" w:space="0" w:color="C9D5E6"/>
            </w:tcBorders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F6F9FC"/>
          </w:tcPr>
          <w:p>
            <w:pPr>
              <w:spacing w:before="0" w:after="0" w:line="221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3"/>
              </w:rPr>
              <w:t>RND-020 / KRN-010</w:t>
            </w:r>
          </w:p>
        </w:tc>
      </w:tr>
    </w:tbl>
    <w:p>
      <w:pPr>
        <w:spacing w:before="120" w:after="80"/>
      </w:pPr>
      <w:r>
        <w:rPr>
          <w:rFonts w:ascii="Noto Sans CJK SC" w:hAnsi="Noto Sans CJK SC" w:eastAsia="Noto Sans CJK SC"/>
          <w:b/>
          <w:color w:val="2053A3"/>
          <w:sz w:val="26"/>
        </w:rPr>
        <w:t>5. P1 移交清单（由本映射触发）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97"/>
        <w:gridCol w:w="3997"/>
        <w:gridCol w:w="3997"/>
        <w:gridCol w:w="3997"/>
      </w:tblGrid>
      <w:tr>
        <w:trPr>
          <w:tblHeader w:val="true"/>
        </w:trPr>
        <w:tc>
          <w:tcPr>
            <w:tcW w:type="dxa" w:w="119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Handoff</w:t>
            </w:r>
          </w:p>
        </w:tc>
        <w:tc>
          <w:tcPr>
            <w:tcW w:type="dxa" w:w="737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P1 动作</w:t>
            </w:r>
          </w:p>
        </w:tc>
        <w:tc>
          <w:tcPr>
            <w:tcW w:type="dxa" w:w="226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3969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验收底线</w:t>
            </w:r>
          </w:p>
        </w:tc>
      </w:tr>
      <w:tr>
        <w:tc>
          <w:tcPr>
            <w:tcW w:type="dxa" w:w="119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H-01</w:t>
            </w:r>
          </w:p>
        </w:tc>
        <w:tc>
          <w:tcPr>
            <w:tcW w:type="dxa" w:w="737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EBMS 建立 platform/management/sales/delivery/rd/quality/finance/support/legacy Domain 分区</w:t>
            </w:r>
          </w:p>
        </w:tc>
        <w:tc>
          <w:tcPr>
            <w:tcW w:type="dxa" w:w="226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EBMS Lead</w:t>
            </w:r>
          </w:p>
        </w:tc>
        <w:tc>
          <w:tcPr>
            <w:tcW w:type="dxa" w:w="3969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新增跨域 direct import = 0</w:t>
            </w:r>
          </w:p>
        </w:tc>
      </w:tr>
      <w:tr>
        <w:tc>
          <w:tcPr>
            <w:tcW w:type="dxa" w:w="119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H-02</w:t>
            </w:r>
          </w:p>
        </w:tc>
        <w:tc>
          <w:tcPr>
            <w:tcW w:type="dxa" w:w="737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交付中台按 Delivery Domain 整理订单/物料/采购/计划/生产/物流/交付</w:t>
            </w:r>
          </w:p>
        </w:tc>
        <w:tc>
          <w:tcPr>
            <w:tcW w:type="dxa" w:w="226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Delivery Lead</w:t>
            </w:r>
          </w:p>
        </w:tc>
        <w:tc>
          <w:tcPr>
            <w:tcW w:type="dxa" w:w="3969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M06 不取得 EBOM/销售商务/会计事实 Owner</w:t>
            </w:r>
          </w:p>
        </w:tc>
      </w:tr>
      <w:tr>
        <w:tc>
          <w:tcPr>
            <w:tcW w:type="dxa" w:w="119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H-03</w:t>
            </w:r>
          </w:p>
        </w:tc>
        <w:tc>
          <w:tcPr>
            <w:tcW w:type="dxa" w:w="737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恒聘通 Person/Org/Position 改为引用 AEOS Master；保留服务业务</w:t>
            </w:r>
          </w:p>
        </w:tc>
        <w:tc>
          <w:tcPr>
            <w:tcW w:type="dxa" w:w="226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Support Lead / Platform Lead</w:t>
            </w:r>
          </w:p>
        </w:tc>
        <w:tc>
          <w:tcPr>
            <w:tcW w:type="dxa" w:w="3969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组织主数据重复源 = 0</w:t>
            </w:r>
          </w:p>
        </w:tc>
      </w:tr>
      <w:tr>
        <w:tc>
          <w:tcPr>
            <w:tcW w:type="dxa" w:w="119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H-04</w:t>
            </w:r>
          </w:p>
        </w:tc>
        <w:tc>
          <w:tcPr>
            <w:tcW w:type="dxa" w:w="737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产品/BOM/项目/规格/样品/技术转移从 EBMS 逻辑拆分到 R&amp;D Domain</w:t>
            </w:r>
          </w:p>
        </w:tc>
        <w:tc>
          <w:tcPr>
            <w:tcW w:type="dxa" w:w="226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R&amp;D Lead</w:t>
            </w:r>
          </w:p>
        </w:tc>
        <w:tc>
          <w:tcPr>
            <w:tcW w:type="dxa" w:w="3969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新工程能力不得进入 EBMS</w:t>
            </w:r>
          </w:p>
        </w:tc>
      </w:tr>
      <w:tr>
        <w:tc>
          <w:tcPr>
            <w:tcW w:type="dxa" w:w="119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H-05</w:t>
            </w:r>
          </w:p>
        </w:tc>
        <w:tc>
          <w:tcPr>
            <w:tcW w:type="dxa" w:w="737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质量/财经正式事实 Owner 明确，停止 EBMS 第二套维护</w:t>
            </w:r>
          </w:p>
        </w:tc>
        <w:tc>
          <w:tcPr>
            <w:tcW w:type="dxa" w:w="226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Quality Lead / Finance Lead</w:t>
            </w:r>
          </w:p>
        </w:tc>
        <w:tc>
          <w:tcPr>
            <w:tcW w:type="dxa" w:w="3969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跨域直接写表 = 0</w:t>
            </w:r>
          </w:p>
        </w:tc>
      </w:tr>
      <w:tr>
        <w:tc>
          <w:tcPr>
            <w:tcW w:type="dxa" w:w="119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H-06</w:t>
            </w:r>
          </w:p>
        </w:tc>
        <w:tc>
          <w:tcPr>
            <w:tcW w:type="dxa" w:w="737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历史直连/共享 JSON/硬编码 API/import 进入 Legacy Dependency Register</w:t>
            </w:r>
          </w:p>
        </w:tc>
        <w:tc>
          <w:tcPr>
            <w:tcW w:type="dxa" w:w="226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Chief Architect</w:t>
            </w:r>
          </w:p>
        </w:tc>
        <w:tc>
          <w:tcPr>
            <w:tcW w:type="dxa" w:w="3969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每项有 Owner、目标域、替换方案</w:t>
            </w:r>
          </w:p>
        </w:tc>
      </w:tr>
      <w:tr>
        <w:tc>
          <w:tcPr>
            <w:tcW w:type="dxa" w:w="119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H-07</w:t>
            </w:r>
          </w:p>
        </w:tc>
        <w:tc>
          <w:tcPr>
            <w:tcW w:type="dxa" w:w="737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对历史模块建立稳定 Service/API Facade</w:t>
            </w:r>
          </w:p>
        </w:tc>
        <w:tc>
          <w:tcPr>
            <w:tcW w:type="dxa" w:w="226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Platform Lead</w:t>
            </w:r>
          </w:p>
        </w:tc>
        <w:tc>
          <w:tcPr>
            <w:tcW w:type="dxa" w:w="3969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先断新耦合，再渐进迁移</w:t>
            </w:r>
          </w:p>
        </w:tc>
      </w:tr>
    </w:tbl>
    <w:p>
      <w:pPr>
        <w:spacing w:before="120" w:after="80"/>
      </w:pPr>
      <w:r>
        <w:rPr>
          <w:rFonts w:ascii="Noto Sans CJK SC" w:hAnsi="Noto Sans CJK SC" w:eastAsia="Noto Sans CJK SC"/>
          <w:b/>
          <w:color w:val="2053A3"/>
          <w:sz w:val="26"/>
        </w:rPr>
        <w:t>6. 未决项与处理原则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97"/>
        <w:gridCol w:w="3997"/>
        <w:gridCol w:w="3997"/>
        <w:gridCol w:w="3997"/>
      </w:tblGrid>
      <w:tr>
        <w:trPr>
          <w:tblHeader w:val="true"/>
        </w:trPr>
        <w:tc>
          <w:tcPr>
            <w:tcW w:type="dxa" w:w="113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4535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未决项</w:t>
            </w:r>
          </w:p>
        </w:tc>
        <w:tc>
          <w:tcPr>
            <w:tcW w:type="dxa" w:w="623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当前结论</w:t>
            </w:r>
          </w:p>
        </w:tc>
        <w:tc>
          <w:tcPr>
            <w:tcW w:type="dxa" w:w="2835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处理时点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OI-01</w:t>
            </w:r>
          </w:p>
        </w:tc>
        <w:tc>
          <w:tcPr>
            <w:tcW w:type="dxa" w:w="4535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EBMS platform/legacy 下的具体代码资产清单</w:t>
            </w:r>
          </w:p>
        </w:tc>
        <w:tc>
          <w:tcPr>
            <w:tcW w:type="dxa" w:w="623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源文件未逐项列明，不在 P0-02 中臆测；仅冻结目标归属规则。</w:t>
            </w:r>
          </w:p>
        </w:tc>
        <w:tc>
          <w:tcPr>
            <w:tcW w:type="dxa" w:w="2835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P1-06 Legacy Dependency Register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OI-02</w:t>
            </w:r>
          </w:p>
        </w:tc>
        <w:tc>
          <w:tcPr>
            <w:tcW w:type="dxa" w:w="4535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各系统数据库/JSON 文件/共享表的逐表 Owner</w:t>
            </w:r>
          </w:p>
        </w:tc>
        <w:tc>
          <w:tcPr>
            <w:tcW w:type="dxa" w:w="623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P0-02 只映射模块；正式数据 Owner 在 P0-03 Data Ownership Matrix 冻结。</w:t>
            </w:r>
          </w:p>
        </w:tc>
        <w:tc>
          <w:tcPr>
            <w:tcW w:type="dxa" w:w="2835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P0-03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OI-03</w:t>
            </w:r>
          </w:p>
        </w:tc>
        <w:tc>
          <w:tcPr>
            <w:tcW w:type="dxa" w:w="4535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跨域接口字段、事件名、Result/Evidence schema</w:t>
            </w:r>
          </w:p>
        </w:tc>
        <w:tc>
          <w:tcPr>
            <w:tcW w:type="dxa" w:w="623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本文件只指定交互方向；接口级契约在 P0-04/P0-05 冻结。</w:t>
            </w:r>
          </w:p>
        </w:tc>
        <w:tc>
          <w:tcPr>
            <w:tcW w:type="dxa" w:w="2835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P0-04 / P0-05</w:t>
            </w:r>
          </w:p>
        </w:tc>
      </w:tr>
    </w:tbl>
    <w:p>
      <w:pPr>
        <w:spacing w:before="120" w:after="80"/>
      </w:pPr>
      <w:r>
        <w:rPr>
          <w:rFonts w:ascii="Noto Sans CJK SC" w:hAnsi="Noto Sans CJK SC" w:eastAsia="Noto Sans CJK SC"/>
          <w:b/>
          <w:color w:val="2053A3"/>
          <w:sz w:val="26"/>
        </w:rPr>
        <w:t>7. P0-02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97"/>
        <w:gridCol w:w="3997"/>
        <w:gridCol w:w="3997"/>
        <w:gridCol w:w="3997"/>
      </w:tblGrid>
      <w:tr>
        <w:trPr>
          <w:tblHeader w:val="true"/>
        </w:trPr>
        <w:tc>
          <w:tcPr>
            <w:tcW w:type="dxa" w:w="1247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检查 ID</w:t>
            </w:r>
          </w:p>
        </w:tc>
        <w:tc>
          <w:tcPr>
            <w:tcW w:type="dxa" w:w="294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检查项</w:t>
            </w:r>
          </w:p>
        </w:tc>
        <w:tc>
          <w:tcPr>
            <w:tcW w:type="dxa" w:w="963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通过标准</w:t>
            </w:r>
          </w:p>
        </w:tc>
        <w:tc>
          <w:tcPr>
            <w:tcW w:type="dxa" w:w="85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MM-01</w:t>
            </w:r>
          </w:p>
        </w:tc>
        <w:tc>
          <w:tcPr>
            <w:tcW w:type="dxa" w:w="294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四类现有系统均已覆盖</w:t>
            </w:r>
          </w:p>
        </w:tc>
        <w:tc>
          <w:tcPr>
            <w:tcW w:type="dxa" w:w="963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EBMS / 交付中台 / 恒聘通 / 研发模块均有明确映射。</w:t>
            </w:r>
          </w:p>
        </w:tc>
        <w:tc>
          <w:tcPr>
            <w:tcW w:type="dxa" w:w="85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□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MM-02</w:t>
            </w:r>
          </w:p>
        </w:tc>
        <w:tc>
          <w:tcPr>
            <w:tcW w:type="dxa" w:w="294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每个已识别功能有唯一 Target</w:t>
            </w:r>
          </w:p>
        </w:tc>
        <w:tc>
          <w:tcPr>
            <w:tcW w:type="dxa" w:w="963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除显式 SPLIT/legacy 外，不允许“多目标无 Owner”。</w:t>
            </w:r>
          </w:p>
        </w:tc>
        <w:tc>
          <w:tcPr>
            <w:tcW w:type="dxa" w:w="85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□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MM-03</w:t>
            </w:r>
          </w:p>
        </w:tc>
        <w:tc>
          <w:tcPr>
            <w:tcW w:type="dxa" w:w="294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专业事实去重</w:t>
            </w:r>
          </w:p>
        </w:tc>
        <w:tc>
          <w:tcPr>
            <w:tcW w:type="dxa" w:w="963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Sales/Delivery/R&amp;D/Quality/Finance 不再由 EBMS 作为第二正式 Owner。</w:t>
            </w:r>
          </w:p>
        </w:tc>
        <w:tc>
          <w:tcPr>
            <w:tcW w:type="dxa" w:w="85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□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MM-04</w:t>
            </w:r>
          </w:p>
        </w:tc>
        <w:tc>
          <w:tcPr>
            <w:tcW w:type="dxa" w:w="294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主数据边界明确</w:t>
            </w:r>
          </w:p>
        </w:tc>
        <w:tc>
          <w:tcPr>
            <w:tcW w:type="dxa" w:w="963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Person/Org/Position 的目标 Owner 指向 M01；恒聘通改为引用。</w:t>
            </w:r>
          </w:p>
        </w:tc>
        <w:tc>
          <w:tcPr>
            <w:tcW w:type="dxa" w:w="85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□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MM-05</w:t>
            </w:r>
          </w:p>
        </w:tc>
        <w:tc>
          <w:tcPr>
            <w:tcW w:type="dxa" w:w="294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交付边界明确</w:t>
            </w:r>
          </w:p>
        </w:tc>
        <w:tc>
          <w:tcPr>
            <w:tcW w:type="dxa" w:w="963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M06 不拥有研发 EBOM、销售商务、会计事实。</w:t>
            </w:r>
          </w:p>
        </w:tc>
        <w:tc>
          <w:tcPr>
            <w:tcW w:type="dxa" w:w="85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□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MM-06</w:t>
            </w:r>
          </w:p>
        </w:tc>
        <w:tc>
          <w:tcPr>
            <w:tcW w:type="dxa" w:w="294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遗留依赖有受控出口</w:t>
            </w:r>
          </w:p>
        </w:tc>
        <w:tc>
          <w:tcPr>
            <w:tcW w:type="dxa" w:w="963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无法立即迁移项进入 legacy/Register/Facade，不再新增直连。</w:t>
            </w:r>
          </w:p>
        </w:tc>
        <w:tc>
          <w:tcPr>
            <w:tcW w:type="dxa" w:w="85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□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MM-07</w:t>
            </w:r>
          </w:p>
        </w:tc>
        <w:tc>
          <w:tcPr>
            <w:tcW w:type="dxa" w:w="294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P1 移交可执行</w:t>
            </w:r>
          </w:p>
        </w:tc>
        <w:tc>
          <w:tcPr>
            <w:tcW w:type="dxa" w:w="963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P1-01~P1-07 均能从本映射找到目标域与 Owner。</w:t>
            </w:r>
          </w:p>
        </w:tc>
        <w:tc>
          <w:tcPr>
            <w:tcW w:type="dxa" w:w="85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□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MM-08</w:t>
            </w:r>
          </w:p>
        </w:tc>
        <w:tc>
          <w:tcPr>
            <w:tcW w:type="dxa" w:w="294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Chief Architect 签批</w:t>
            </w:r>
          </w:p>
        </w:tc>
        <w:tc>
          <w:tcPr>
            <w:tcW w:type="dxa" w:w="963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签批后版本标记 EFFECTIVE，并进入 Development Ledger。</w:t>
            </w:r>
          </w:p>
        </w:tc>
        <w:tc>
          <w:tcPr>
            <w:tcW w:type="dxa" w:w="85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□</w:t>
            </w:r>
          </w:p>
        </w:tc>
      </w:tr>
    </w:tbl>
    <w:p>
      <w:pPr>
        <w:spacing w:before="120" w:after="80"/>
      </w:pPr>
      <w:r>
        <w:rPr>
          <w:rFonts w:ascii="Noto Sans CJK SC" w:hAnsi="Noto Sans CJK SC" w:eastAsia="Noto Sans CJK SC"/>
          <w:b/>
          <w:color w:val="2053A3"/>
          <w:sz w:val="26"/>
        </w:rPr>
        <w:t>8. 签批与生效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97"/>
        <w:gridCol w:w="3997"/>
        <w:gridCol w:w="3997"/>
        <w:gridCol w:w="3997"/>
      </w:tblGrid>
      <w:tr>
        <w:trPr>
          <w:tblHeader w:val="true"/>
        </w:trPr>
        <w:tc>
          <w:tcPr>
            <w:tcW w:type="dxa" w:w="408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425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姓名/签名</w:t>
            </w:r>
          </w:p>
        </w:tc>
        <w:tc>
          <w:tcPr>
            <w:tcW w:type="dxa" w:w="470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170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日期</w:t>
            </w:r>
          </w:p>
        </w:tc>
      </w:tr>
      <w:tr>
        <w:tc>
          <w:tcPr>
            <w:tcW w:type="dxa" w:w="408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Chief Architect（Accountable）</w:t>
            </w:r>
          </w:p>
        </w:tc>
        <w:tc>
          <w:tcPr>
            <w:tcW w:type="dxa" w:w="425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</w:r>
          </w:p>
        </w:tc>
        <w:tc>
          <w:tcPr>
            <w:tcW w:type="dxa" w:w="470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□ 批准   □ 有条件批准   □ 退回</w:t>
            </w:r>
          </w:p>
        </w:tc>
        <w:tc>
          <w:tcPr>
            <w:tcW w:type="dxa" w:w="170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</w:r>
          </w:p>
        </w:tc>
      </w:tr>
      <w:tr>
        <w:tc>
          <w:tcPr>
            <w:tcW w:type="dxa" w:w="408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EBMS Lead / Delivery Lead / R&amp;D Lead / Support Lead</w:t>
            </w:r>
          </w:p>
        </w:tc>
        <w:tc>
          <w:tcPr>
            <w:tcW w:type="dxa" w:w="425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</w:r>
          </w:p>
        </w:tc>
        <w:tc>
          <w:tcPr>
            <w:tcW w:type="dxa" w:w="470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□ 已确认映射   □ 有异议</w:t>
            </w:r>
          </w:p>
        </w:tc>
        <w:tc>
          <w:tcPr>
            <w:tcW w:type="dxa" w:w="170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</w:r>
          </w:p>
        </w:tc>
      </w:tr>
      <w:tr>
        <w:tc>
          <w:tcPr>
            <w:tcW w:type="dxa" w:w="408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AEOS Program Office / PMO</w:t>
            </w:r>
          </w:p>
        </w:tc>
        <w:tc>
          <w:tcPr>
            <w:tcW w:type="dxa" w:w="425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</w:r>
          </w:p>
        </w:tc>
        <w:tc>
          <w:tcPr>
            <w:tcW w:type="dxa" w:w="470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  <w:t>□ 归档   □ 退回补充</w:t>
            </w:r>
          </w:p>
        </w:tc>
        <w:tc>
          <w:tcPr>
            <w:tcW w:type="dxa" w:w="170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3042"/>
                <w:sz w:val="16"/>
              </w:rPr>
            </w:r>
          </w:p>
        </w:tc>
      </w:tr>
    </w:tbl>
    <w:p>
      <w:pPr>
        <w:spacing w:before="120" w:after="80"/>
      </w:pPr>
      <w:r>
        <w:rPr>
          <w:rFonts w:ascii="Noto Sans CJK SC" w:hAnsi="Noto Sans CJK SC" w:eastAsia="Noto Sans CJK SC"/>
          <w:b/>
          <w:color w:val="2053A3"/>
          <w:sz w:val="26"/>
        </w:rPr>
        <w:t>9. 依据与一致性说明</w:t>
      </w:r>
    </w:p>
    <w:p>
      <w:r>
        <w:rPr>
          <w:rFonts w:ascii="Noto Sans CJK SC" w:hAnsi="Noto Sans CJK SC" w:eastAsia="Noto Sans CJK SC"/>
          <w:b w:val="0"/>
          <w:color w:val="233042"/>
          <w:sz w:val="17"/>
        </w:rPr>
        <w:t>本文件直接依据《AEOS V7.2 · 分模块分阶段具体执行方案》中的 P0-02、P1-01~P1-07 以及 M03~M10 分模块 WBS。P0-02 的源任务要求是：把现有 EBMS、交付中台、恒聘通、研发模块逐项映射到目标 Domain，交付 Module Mapping Matrix，并由 Chief Architect 最终负责。本文件只固化源方案可以支持的目标归属；源方案未给出具体资产清单之处，明确列为未决项，不自行补写实现事实。</w:t>
      </w:r>
    </w:p>
    <w:p>
      <w:r>
        <w:rPr>
          <w:rFonts w:ascii="Noto Sans CJK SC" w:hAnsi="Noto Sans CJK SC" w:eastAsia="Noto Sans CJK SC"/>
          <w:b/>
          <w:color w:val="2053A3"/>
          <w:sz w:val="17"/>
        </w:rPr>
        <w:t>受控原则：P0-02 不改变 P0-01 的一级命名与边界。如后续代码现状与本映射冲突，应登记 Architecture/Legacy Change，由 Architecture Board 裁决，而不是反向修改目标架构。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369" w:right="425" w:bottom="369" w:left="4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37D8C"/>
        <w:sz w:val="14"/>
      </w:rPr>
      <w:t>宁波恒剑光电科技有限公司  |  AEOS Program Office  |  受控架构映射基线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color w:val="737D8C"/>
        <w:sz w:val="14"/>
      </w:rPr>
      <w:t>AEOS V7.2  |  P0-02  |  CURRENT → TARGET MODULE MAPPING MATRIX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