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Microsoft YaHei" w:hAnsi="Microsoft YaHei" w:eastAsia="Microsoft YaHei"/>
          <w:b/>
          <w:sz w:val="48"/>
        </w:rPr>
        <w:t>基础数据与集成中心开发交接文档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95959"/>
          <w:sz w:val="23"/>
        </w:rPr>
        <w:t>AEOS Hub 与 SPC 中控平台 只读接入基线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版本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V1.0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日期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2026-09-24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交接范围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基础数据中心、数据供给 API、company-control MCP、AEOS Hub 集成边界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目标读者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中控平台组、主数据 Owner、集成开发、AEOS 开发、测试与运维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阶段边界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A1/A2 只读经营分析与协同建议；不含写回、审批执行或生产操作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中控入口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https://spc.hengyou-soft.com/dashboard（本次访问重定向至登录页）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交接结论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当前工程已具备以 company-control MCP 读取订单、BOM、物料、供应商、齐套、库存、供给和质量数据的基础链路。全部已登记能力均声明为只读，并通过标准返回信封提供数据时间、置信度与 evidence_refs。后续交接的关键不在于新增第二套连接，而在于由 SPC 确认基础数据中心中的正式 API、endpoint code、授权范围、字段口径和新鲜度规则，再按唯一规范包完成联调。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/>
          <w:sz w:val="21"/>
        </w:rPr>
        <w:t>本次未获得登录后中控菜单、字段或接口响应，也未取得实时 MCP 返回。</w:t>
      </w:r>
      <w:r>
        <w:rPr>
          <w:rFonts w:ascii="Microsoft YaHei" w:hAnsi="Microsoft YaHei" w:eastAsia="Microsoft YaHei"/>
          <w:b w:val="0"/>
          <w:sz w:val="21"/>
        </w:rPr>
        <w:t>因此，本文将工程代码和现有注册表作为开发核验依据；涉及 SPC 页面位置、权限配置和线上数据现状的内容均列为待确认项，不能解读为生产事实。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1 交接范围与责任边界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本次已核验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不在本次结论内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基础数据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物料检索、供应商详情、BOM 多级树已登记到 MCP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主数据页面实际字段、审批流、维护职责和数据质量现状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集成中心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HMAC、Bearer、OAuth2 三种只读认证路径；路径至 endpoint code 映射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线上 Key 授权、IP 白名单、接口 SLA 和真实网络连通性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AEOS 接入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Registry 白名单、MCP Gateway、证据与只读策略已落位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实时业务结论、对外承诺、数据写回或自动处置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中控网址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访问 dashboard 后重定向至 /login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登录后菜单、表单、API 文档或用户权限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2 目标链路与系统分工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推荐采用“中控为业务事实源，MCP 为只读适配层，Hub 为受治理的消费与分析层”的结构。前端与 Agent 均不得保存中控密钥或绕过 Gateway 直连中控。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基础数据中心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维护物料、供应商、BOM 及其来源、状态、版本与组织范围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主数据主责；确认编码、版本、生效/失效和禁用口径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数据供给 API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以已授权 endpoint code 提供只读数据、分页、数据时间和错误信封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不向客户端泄露 AppSecret；不将 404/未开放伪装为空数据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company-control MCP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参数校验、HMAC 调用、脱敏、Evidence、错误映射、只读声明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薄适配；不重算中控业务算法、不私存第二份权威主数据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AEOS Hub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Registry 白名单、Gateway、缓存、看板与分析任务编排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只提出建议；不修改 SPC 主数据、单据、库存或质量状态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业务 Owner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确认口径、异常处理、权限、验收与变更审批</w:t>
            </w:r>
          </w:p>
        </w:tc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对金额、质量、交付承诺承担人工确认责任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3 已登记能力与接入状态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唯一规范 MCP 目录为 mcp-company-control/，运行配置与只读白名单以 mcp/registry.json 为准。当前 server.json 版本为 1.1.0，已登记 16 个只读 Tool；其中指标目录与指标查询仅保留兼容契约，当前上游未开放。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域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上游路径或状态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交接用途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get_system_health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/common/ping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连通性检查；不可替代单端点验收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订单与产品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orders_list；order_details_list；bom_tree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/external/orders/list；/external/order-details/list；/external/boms/tree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订单、订单行与 BOM 关系查询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基础数据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master_material_search；master_supplier_get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/external/materials/list；/external/suppliers/list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物料、供应商主数据查询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物料齐套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material_kitting_results_list；material_shortages_list；material_kitting_demands_list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/external/material-kitting/*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齐套结果、缺料与需求对象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库存与供给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inventory_availability_list；material_supplies_list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/external/inventory/availability；/external/material-supplies/list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可用量与未来供给参考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质量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quality_issues_list；quality_trace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/external/quality-issues/list；/external/quality-trace/list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质量异常与订单/产品/批次追溯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兼容保留</w:t>
            </w:r>
          </w:p>
        </w:tc>
        <w:tc>
          <w:tcPr>
            <w:tcW w:type="dxa" w:w="2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detail_orders_list；catalog_metrics_list；metric_query</w:t>
            </w:r>
          </w:p>
        </w:tc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前者映射订单；后两者返回 UPSTREAM_UNAVAILABLE</w:t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保障旧调用兼容；不得把未开放理解为无指标数据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4 基础数据交接要求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物料、供应商和 BOM 是当前跨订单、齐套与质量分析的核心关联对象。主数据 Owner 应以稳定编码和版本为第一原则，禁止以物料名称、规格描述或供应商名称作为跨系统唯一键。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最小可用标识与关键字段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主责与校验要求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material_code、物料名称、规格型号、单位、物料属性、有效状态、来源组织、updated_at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基础数据中心维护；编码不可复用；单位变更、禁用与替代料必须可追溯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供应商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supplier_code、名称、状态、组织范围、updated_at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供应链/基础数据共同确认；以 supplier_code 精确查询，联系人与成本类字段须脱敏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BOM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bom_id、bom_no、bom_version、根物料、base_qty、状态/有效期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工艺/研发主责；同一生产需求须能确定实际版本；失效与作废规则不可省略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BOM 行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bom_id、line_no、material_id、standard_qty、单位、损耗率、工序、有效期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变更须保留版本与时间；多级展开由中控输出，Hub 不另行拼装权威树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组织与来源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org_code 或等价组织边界、source_system、源对象 ID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确认跨账套唯一性；缺失时不得跨组织聚合或去重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BOM 查询当前由 bom_tree 提供已组装的多级树，支持按 demand_qty 计算需求量并可选择树形或扁平返回。树展开有防环与深度约束；业务方仍需确认 BOM 审核、启用、版本和有效期字段是否已在对外接口中完整暴露。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5 集成契约与安全基线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已实现基线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交接确认项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认证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优先 HMAC API Key，其次静态 Bearer，再次 OAuth2 client_credentials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确认生产使用方式、Key 所属主体、最小 endpoint 授权、轮换与吊销流程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HMAC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签名为 timestamp + app_key + endpoint_code + query_string，经 HMAC-SHA256 生成；endpoint code 不等同 URL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确认每一正式路径的 code；客户端必须复用同一 query 编码与排序逻辑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凭证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从环境变量注入；代码与文档不保存真实密钥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确认密钥托管、运行主机 IP 白名单、日志脱敏与应急轮换 Owner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分页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page/page_size；新版上限 200，部分兼容能力上限 100；返回 total 与 truncated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确认稳定排序、增量锚点、删除/取消记录与跨页快照一致性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超时与重试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默认总超时 15 秒、连接 5 秒；首次加至多一次有限重试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 API SLA、429/5xx 策略及熔断后的业务降级展示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脱敏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phone、mobile、contact_phone、cost_price、unit_cost、id_card、bank_card 递归脱敏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补充人员、财务、客户等字段分级，复核新端点不会绕过脱敏规则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6 标准返回 Evidence 与数据时效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每次成功调用应返回 source、capability、read_only、generated_at、data_confidence、data_as_of、evidence_refs、data 及分页信息。Evidence URI 采用 control-platform://{entity}/{id}@{data_as_of} 形式；分析结论必须引用本次实际返回的 evidence_refs，不得用本交接文档中的示意或本地文件定位代替。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系统行为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业务解释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成功且新鲜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按返回的 data_as_of 与 data_confidence 展示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可用于受限范围内的分析；仍需遵守关联完整性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STALE_DATA / stale=true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标注数据置信度不足；不参与“无风险”判断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过期不等于无异常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UPSTREAM_UNAVAILABLE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明确能力不可用，可保留其他域结果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未开放/不可达不等于空数据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部分覆盖或 truncated=true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展示查询范围、页数和截断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不得输出全域总数或完整性结论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Evidence 超过 50 条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现有公共 helper 仅保留前 50 条引用</w:t>
            </w:r>
          </w:p>
        </w:tc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需受限分页或补充逐行取证设计，不能为未覆盖行编造引用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7 部署 联调与验收流程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交付物与完成条件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D0 口径冻结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基础数据 Owner + SPC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对象编码、组织范围、字段字典、版本/生效规则、数据新鲜度和错误口径签认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D1 数据供给授权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平台组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正式 path 与 endpoint code、只读 Key、IP 范围、脱敏样例、分页与错误示例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D2 MCP 联调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MCP 开发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server.json、registry、路径映射、Tool Schema、Evidence 和回归测试一致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D3 Hub 接入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AEOS 开发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Gateway 调用、权限范围、缓存键、数据状态与证据展示完成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D4 业务验收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主数据/供应链/计划/质量 Owner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抽样对象与中控原始记录逐项核对；异常、过期、未授权与分页场景通过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D5 灰度交接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运维 + 业务负责人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监控、告警、回退演练、运行手册、联系人和批准记录齐备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8 配置与运行检查清单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确认 CONTROL_PLATFORM_BASE_URL 指向经批准的 API 基址，而非浏览器 dashboard 地址；不得依据前端域名猜测 API 路径。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确认生产凭证仅由部署环境注入；前端、Agent 提示词、日志、文档和 Evidence 中均不得出现 AppSecret 或 Bearer Token。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同步更新 mcp-company-control/server.json、mcp/registry.json、Tool 实现、README、测试与调用方；不创建 mcp-company-control-v* 并行包。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逐项核验 Tool runtime annotations.readOnlyHint、server.json permission_level 与 Registry readOnly 均为只读。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测试 get_system_health 后，再逐端点校验授权与响应；健康检查通过不能证明基础数据接口均可用。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观察成功率、延迟、401/403、429/5xx、分页截断、数据年龄、空主键比例、Evidence 覆盖率与版本不一致；阈值由 SPC 与业务 Owner 定义。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9 回退与故障降级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回退顺序建议为：关闭 Hub 中新增的数据消费入口或缓存任务 → 停止对应 Tool 的业务调用 → 同步 Registry、MCP 元数据与运行实现 → 保留订单、齐套、质量等既有能力与历史 Evidence。禁止通过删除 Evidence 或静默改写数据时间来掩盖错误。若需版本回退，必须回退为经验证的成套兼容版本。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10 TOP 需人关注事项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依据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风险/缺口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建议动作与审批</w:t>
            </w:r>
          </w:p>
        </w:tc>
      </w:tr>
      <w:tr>
        <w:tc>
          <w:tcPr>
            <w:tcW w:type="dxa" w:w="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确认中控登录后基础数据中心与数据供给菜单及实际字段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dashboard 本次重定向至 /login；无登录后页面证据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页面、权限与配置步骤未核实，无法形成操作级交接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管理员提供只读演示或页面截图/API 文档；中控 Owner 确认</w:t>
            </w:r>
          </w:p>
        </w:tc>
      </w:tr>
      <w:tr>
        <w:tc>
          <w:tcPr>
            <w:tcW w:type="dxa" w:w="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冻结物料 供应商 BOM 的唯一键与组织范围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现有 MCP 以 material_code、supplier_code、bom_id 等对象键取证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编码复用或跨组织混用会造成错误关联与重复聚合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基础数据 Owner 出具编码、版本、失效和跨账套规则；业务负责人签认</w:t>
            </w:r>
          </w:p>
        </w:tc>
      </w:tr>
      <w:tr>
        <w:tc>
          <w:tcPr>
            <w:tcW w:type="dxa" w:w="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落实 endpoint code 与最小授权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upstream_client.py 按路径映射 code 并进行 HMAC 签名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code/查询串不一致或权限不足将导致联调失败或越权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平台组登记正式 code、Key 权限、IP 白名单与轮换流程；安全负责人复核</w:t>
            </w:r>
          </w:p>
        </w:tc>
      </w:tr>
      <w:tr>
        <w:tc>
          <w:tcPr>
            <w:tcW w:type="dxa" w:w="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补齐时效与变更数据契约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标准返回依赖 data_as_of/data_confidence；当前 helper 对缺失值有默认行为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可能出现虚假新鲜度、分页漏数或过期数据被误判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8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SPC 确认刷新 SLA、updated_after、稳定排序、删除墓碑；测试负责人验收</w:t>
            </w:r>
          </w:p>
        </w:tc>
      </w:tr>
      <w:tr>
        <w:tc>
          <w:tcPr>
            <w:tcW w:type="dxa" w:w="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明确未开放指标能力的替代计划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catalog_metrics_list 与 metric_query 返回 UPSTREAM_UNAVAILABLE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不可将未开放当作“无指标/无异常”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中控与业务 Owner 决定上线指标端点或在 Hub 明确展示能力缺口；需人工确认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sz w:val="30"/>
        </w:rPr>
        <w:t>附录 工程核验来源</w:t>
      </w:r>
    </w:p>
    <w:p>
      <w:pPr>
        <w:spacing w:after="100" w:line="307" w:lineRule="auto"/>
      </w:pPr>
      <w:r>
        <w:rPr>
          <w:rFonts w:ascii="Microsoft YaHei" w:hAnsi="Microsoft YaHei" w:eastAsia="Microsoft YaHei"/>
          <w:b w:val="0"/>
          <w:sz w:val="21"/>
        </w:rPr>
        <w:t>以下为本次文档的工程核验来源，不是实时业务 evidence_refs。上线验收时须附脱敏后的真实请求/响应、data_as_of、evidence_refs 和业务 Owner 核对记录。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docs/SPC生产协同中心链路开发交接文档_v1.0.md：已有链路、只读边界和中控入口核验记录。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mcp-company-control/server.json 与 mcp/registry.json：当前 16 个 Tool、版本、启动配置与只读白名单。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mcp-company-control/mcp_server/upstream_client.py：13 条上游路径、endpoint code、HMAC、超时与有限重试。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mcp-company-control/mcp_server/contracts.py 与 tool_helpers.py：标准信封、Evidence、脱敏、分页与时效处理。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mcp-company-control/mcp_server/legacy_compat.py、kitting.py、quality.py：基础数据兼容工具及齐套、质量注册情况。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mcp-company-control/README.md、docs/数据库字段清单.md：数据供给授权说明、字段映射与已暴露/未暴露字段。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0"/>
        </w:rPr>
        <w:t>AI_HARBOR_ARCHITECTURE.md：AEOS 连接、证据、治理与运行边界。</w:t>
      </w:r>
    </w:p>
    <w:sectPr w:rsidR="00FC693F" w:rsidRPr="0006063C" w:rsidSect="00034616">
      <w:footerReference w:type="default" r:id="rId9"/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Microsoft YaHei" w:hAnsi="Microsoft YaHei" w:eastAsia="Microsoft YaHei"/>
        <w:b w:val="0"/>
        <w:color w:val="646464"/>
        <w:sz w:val="16"/>
      </w:rPr>
      <w:t>AEOS Hub · 基础数据与集成中心开发交接文档 · V1.0 · 2026-09-24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