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免責事項</w:t>
      </w:r>
    </w:p>
    <w:p>
      <w:pPr>
        <w:numPr>
          <w:ilvl w:val="0"/>
          <w:numId w:val="1001"/>
        </w:numPr>
        <w:pStyle w:val="Compact"/>
      </w:pPr>
      <w: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numPr>
          <w:ilvl w:val="0"/>
          <w:numId w:val="1001"/>
        </w:numPr>
        <w:pStyle w:val="Compact"/>
      </w:pPr>
      <w: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2"/>
        </w:numPr>
        <w:pStyle w:val="Compact"/>
      </w:pPr>
      <w:r>
        <w:t xml:space="preserve">チーム/プロジェクトが 3 ～ 10 名程度の規模</w:t>
      </w:r>
    </w:p>
    <w:p>
      <w:pPr>
        <w:numPr>
          <w:ilvl w:val="0"/>
          <w:numId w:val="1002"/>
        </w:numPr>
        <w:pStyle w:val="Compact"/>
      </w:pPr>
      <w:r>
        <w:t xml:space="preserve">Git（GitHub, GitLab）で管理され、コードと設計書が同一リポジトリで管理される</w:t>
      </w:r>
    </w:p>
    <w:p>
      <w:pPr>
        <w:numPr>
          <w:ilvl w:val="0"/>
          <w:numId w:val="1002"/>
        </w:numPr>
        <w:pStyle w:val="Compact"/>
      </w:pPr>
      <w:r>
        <w:t xml:space="preserve">システム開発で必要なアプリケーション開発</w:t>
      </w:r>
    </w:p>
    <w:bookmarkEnd w:id="21"/>
    <w:bookmarkStart w:id="22"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2"/>
    <w:bookmarkStart w:id="23"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Markdownは表を記載可能だが、列数が多い場合は保守性が非常に低くなり、</w:t>
      </w:r>
      <w:r>
        <w:rPr>
          <w:rStyle w:val="VerbatimChar"/>
        </w:rPr>
        <w:t xml:space="preserve">git diff</w:t>
      </w:r>
      <w:r>
        <w:t xml:space="preserve"> </w:t>
      </w:r>
      <w:r>
        <w:t xml:space="preserve">を用いた差分を確認できるメリットも下がる。</w:t>
      </w:r>
    </w:p>
    <w:p>
      <w:pPr>
        <w:pStyle w:val="a0"/>
      </w:pPr>
      <w:r>
        <w:t xml:space="preserve">例えば、1つの画面の利用項目数が数十以上になり得る場合は、Excelなどのファイル形式を利用することを推奨する。</w:t>
      </w:r>
    </w:p>
    <w:bookmarkEnd w:id="23"/>
    <w:bookmarkStart w:id="24"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3"/>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3"/>
        </w:numPr>
        <w:pStyle w:val="Compact"/>
      </w:pPr>
      <w:r>
        <w:t xml:space="preserve">番号には体系をもたせず、必要になったタイミングでインクリメントさせる</w:t>
      </w:r>
    </w:p>
    <w:p>
      <w:pPr>
        <w:numPr>
          <w:ilvl w:val="0"/>
          <w:numId w:val="1003"/>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4"/>
    <w:bookmarkStart w:id="25"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4"/>
        </w:numPr>
        <w:pStyle w:val="Compact"/>
      </w:pPr>
      <w:r>
        <w:rPr>
          <w:rStyle w:val="VerbatimChar"/>
        </w:rPr>
        <w:t xml:space="preserve">.drawio.png</w:t>
      </w:r>
    </w:p>
    <w:p>
      <w:pPr>
        <w:numPr>
          <w:ilvl w:val="0"/>
          <w:numId w:val="1004"/>
        </w:numPr>
        <w:pStyle w:val="Compact"/>
      </w:pPr>
      <w:r>
        <w:rPr>
          <w:rStyle w:val="VerbatimChar"/>
        </w:rPr>
        <w:t xml:space="preserve">.drawio.jpg</w:t>
      </w:r>
    </w:p>
    <w:p>
      <w:pPr>
        <w:numPr>
          <w:ilvl w:val="0"/>
          <w:numId w:val="1004"/>
        </w:numPr>
        <w:pStyle w:val="Compact"/>
      </w:pPr>
      <w:r>
        <w:rPr>
          <w:rStyle w:val="VerbatimChar"/>
        </w:rPr>
        <w:t xml:space="preserve">.drawio.svg</w:t>
      </w:r>
    </w:p>
    <w:bookmarkEnd w:id="25"/>
    <w:bookmarkStart w:id="27" w:name="フロントエンド"/>
    <w:p>
      <w:pPr>
        <w:pStyle w:val="1"/>
      </w:pPr>
      <w:r>
        <w:t xml:space="preserve">フロントエンド</w:t>
      </w:r>
    </w:p>
    <w:p>
      <w:pPr>
        <w:pStyle w:val="FirstParagraph"/>
      </w:pPr>
      <w:r>
        <w:t xml:space="preserve">以下の方針を取る。</w:t>
      </w:r>
    </w:p>
    <w:p>
      <w:pPr>
        <w:numPr>
          <w:ilvl w:val="0"/>
          <w:numId w:val="1005"/>
        </w:numPr>
        <w:pStyle w:val="Compact"/>
      </w:pPr>
      <w:r>
        <w:t xml:space="preserve">Figmaを用いて、画面遷移、画面表示項目を定義する</w:t>
      </w:r>
    </w:p>
    <w:p>
      <w:pPr>
        <w:numPr>
          <w:ilvl w:val="0"/>
          <w:numId w:val="1005"/>
        </w:numPr>
        <w:pStyle w:val="Compact"/>
      </w:pPr>
      <w:r>
        <w:t xml:space="preserve">Markdown設計書には、Figmaで判断可能な見た目の情報は</w:t>
      </w:r>
      <w:r>
        <w:t xml:space="preserve"> </w:t>
      </w:r>
      <w:r>
        <w:rPr>
          <w:bCs/>
          <w:b/>
        </w:rPr>
        <w:t xml:space="preserve">記載しない</w:t>
      </w:r>
    </w:p>
    <w:p>
      <w:pPr>
        <w:numPr>
          <w:ilvl w:val="0"/>
          <w:numId w:val="1005"/>
        </w:numPr>
        <w:pStyle w:val="Compact"/>
      </w:pPr>
      <w:r>
        <w:t xml:space="preserve">Markdown設計書には、Web APIの呼び出しやイベントの定義、パラメータの受け渡し、バリデーションロジックなどを定義する。</w:t>
      </w:r>
    </w:p>
    <w:p>
      <w:pPr>
        <w:pStyle w:val="FirstParagraph"/>
      </w:pPr>
      <w:hyperlink r:id="rId26">
        <w:r>
          <w:rPr>
            <w:rStyle w:val="ad"/>
          </w:rPr>
          <w:t xml:space="preserve">サンプル設計書</w:t>
        </w:r>
      </w:hyperlink>
      <w:r>
        <w:t xml:space="preserve">を参考にする。</w:t>
      </w:r>
    </w:p>
    <w:bookmarkEnd w:id="27"/>
    <w:bookmarkStart w:id="38" w:name="バックエンド"/>
    <w:p>
      <w:pPr>
        <w:pStyle w:val="1"/>
      </w:pPr>
      <w:r>
        <w:t xml:space="preserve">バックエンド</w:t>
      </w:r>
    </w:p>
    <w:bookmarkStart w:id="29" w:name="テーブル定義書"/>
    <w:p>
      <w:pPr>
        <w:pStyle w:val="2"/>
      </w:pPr>
      <w:r>
        <w:t xml:space="preserve">テーブル定義書</w:t>
      </w:r>
    </w:p>
    <w:p>
      <w:pPr>
        <w:pStyle w:val="FirstParagraph"/>
      </w:pPr>
      <w:hyperlink r:id="rId28">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6"/>
        </w:numPr>
        <w:pStyle w:val="Compact"/>
      </w:pPr>
      <w:r>
        <w:t xml:space="preserve">保持期限</w:t>
      </w:r>
    </w:p>
    <w:p>
      <w:pPr>
        <w:numPr>
          <w:ilvl w:val="0"/>
          <w:numId w:val="1006"/>
        </w:numPr>
        <w:pStyle w:val="Compact"/>
      </w:pPr>
      <w:r>
        <w:t xml:space="preserve">個人情報有無</w:t>
      </w:r>
    </w:p>
    <w:bookmarkEnd w:id="29"/>
    <w:bookmarkStart w:id="30"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0"/>
    <w:bookmarkStart w:id="31"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1"/>
    <w:bookmarkStart w:id="33"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2">
        <w:r>
          <w:rPr>
            <w:rStyle w:val="ad"/>
          </w:rPr>
          <w:t xml:space="preserve">OpenAPI Specification 3.0.3規約</w:t>
        </w:r>
      </w:hyperlink>
      <w:r>
        <w:t xml:space="preserve"> </w:t>
      </w:r>
      <w:r>
        <w:t xml:space="preserve">を参考にする。</w:t>
      </w:r>
    </w:p>
    <w:bookmarkEnd w:id="33"/>
    <w:bookmarkStart w:id="34"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4"/>
    <w:bookmarkStart w:id="36"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5"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5"/>
    <w:bookmarkEnd w:id="36"/>
    <w:bookmarkStart w:id="37" w:name="if-定義書"/>
    <w:p>
      <w:pPr>
        <w:pStyle w:val="2"/>
      </w:pPr>
      <w:r>
        <w:t xml:space="preserve">I/F 定義書</w:t>
      </w:r>
    </w:p>
    <w:p>
      <w:pPr>
        <w:pStyle w:val="FirstParagraph"/>
      </w:pPr>
      <w:r>
        <w:t xml:space="preserve">I/F 定義書は、システム間の連携について定義と、その受信/配信処理の設計書である。</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7"/>
    <w:bookmarkEnd w:id="38"/>
    <w:bookmarkStart w:id="39" w:name="謝辞"/>
    <w:p>
      <w:pPr>
        <w:pStyle w:val="1"/>
      </w:pPr>
      <w:r>
        <w:t xml:space="preserve">謝辞</w:t>
      </w:r>
    </w:p>
    <w:p>
      <w:pPr>
        <w:pStyle w:val="FirstParagraph"/>
      </w:pPr>
      <w:r>
        <w:t xml:space="preserve">このアーキテクチャガイドラインの作成には多くの方々にご協力いただいた。心より感謝申し上げる。</w:t>
      </w:r>
    </w:p>
    <w:p>
      <w:pPr>
        <w:numPr>
          <w:ilvl w:val="0"/>
          <w:numId w:val="1007"/>
        </w:numPr>
        <w:pStyle w:val="Compact"/>
      </w:pPr>
      <w:r>
        <w:rPr>
          <w:bCs/>
          <w:b/>
        </w:rPr>
        <w:t xml:space="preserve">作成者</w:t>
      </w:r>
      <w:r>
        <w:t xml:space="preserve">: 真野隼記、武田大輝、宮崎将太、澁川喜規、合田飛、山本竜玄、清水雄一郎、保谷安胤、洞内惇、橋本竜我</w:t>
      </w:r>
    </w:p>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6" Target="./sample/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6" Target="./sample/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2025-12-24T00:23:40Z</dcterms:created>
  <dcterms:modified xsi:type="dcterms:W3CDTF">2025-12-24T00:23:40Z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