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7" w:name="はじめに"/>
    <w:p>
      <w:pPr>
        <w:pStyle w:val="1"/>
      </w:pPr>
      <w:r>
        <w:t xml:space="preserve">はじめに</w:t>
      </w:r>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
        <w:tblLook w:firstRow="1" w:lastRow="0" w:firstColumn="0" w:lastColumn="0" w:noHBand="0" w:noVBand="0" w:val="0020"/>
      </w:tblPr>
      <w:tblGrid>
        <w:gridCol w:w="1479"/>
        <w:gridCol w:w="548"/>
        <w:gridCol w:w="5892"/>
      </w:tblGrid>
      <w:tr>
        <w:trPr>
          <w:tblHeader w:val="true"/>
        </w:trPr>
        <w:tc>
          <w:tcPr/>
          <w:p>
            <w:pPr>
              <w:pStyle w:val="Compact"/>
              <w:jc w:val="left"/>
            </w:pPr>
            <w:r>
              <w:t xml:space="preserve">規約</w:t>
            </w:r>
          </w:p>
        </w:tc>
        <w:tc>
          <w:tcPr/>
          <w:p>
            <w:pPr>
              <w:pStyle w:val="Compact"/>
              <w:jc w:val="left"/>
            </w:pPr>
            <w:r>
              <w:t xml:space="preserve">著作者</w:t>
            </w:r>
          </w:p>
        </w:tc>
        <w:tc>
          <w:tcPr/>
          <w:p>
            <w:pPr>
              <w:pStyle w:val="Compact"/>
              <w:jc w:val="left"/>
            </w:pPr>
            <w:r>
              <w:t xml:space="preserve">URL</w:t>
            </w:r>
          </w:p>
        </w:tc>
      </w:tr>
      <w:tr>
        <w:tc>
          <w:tcPr/>
          <w:p>
            <w:pPr>
              <w:pStyle w:val="Compact"/>
              <w:jc w:val="left"/>
            </w:pPr>
            <w:r>
              <w:t xml:space="preserve">Code Conventions for the Java Programming Language</w:t>
            </w:r>
          </w:p>
        </w:tc>
        <w:tc>
          <w:tcPr/>
          <w:p>
            <w:pPr>
              <w:pStyle w:val="Compact"/>
              <w:jc w:val="left"/>
            </w:pPr>
            <w:r>
              <w:t xml:space="preserve">Sun Microsystems</w:t>
            </w:r>
          </w:p>
        </w:tc>
        <w:tc>
          <w:tcPr/>
          <w:p>
            <w:pPr>
              <w:pStyle w:val="Compact"/>
              <w:jc w:val="left"/>
            </w:pPr>
            <w:hyperlink r:id="rId20">
              <w:r>
                <w:rPr>
                  <w:rStyle w:val="ad"/>
                </w:rPr>
                <w:t xml:space="preserve">http://www.oracle.com/technetwork/java/codeconvtoc-136057.html</w:t>
              </w:r>
            </w:hyperlink>
          </w:p>
        </w:tc>
      </w:tr>
      <w:tr>
        <w:tc>
          <w:tcPr/>
          <w:p>
            <w:pPr>
              <w:pStyle w:val="Compact"/>
              <w:jc w:val="left"/>
            </w:pPr>
            <w:r>
              <w:t xml:space="preserve">Writing Robust Java Code</w:t>
            </w:r>
          </w:p>
        </w:tc>
        <w:tc>
          <w:tcPr/>
          <w:p>
            <w:pPr>
              <w:pStyle w:val="Compact"/>
              <w:jc w:val="left"/>
            </w:pPr>
            <w:r>
              <w:t xml:space="preserve">Scott W. Ambler</w:t>
            </w:r>
          </w:p>
        </w:tc>
        <w:tc>
          <w:tcPr/>
          <w:p>
            <w:pPr>
              <w:pStyle w:val="Compact"/>
              <w:jc w:val="left"/>
            </w:pPr>
            <w:hyperlink r:id="rId21">
              <w:r>
                <w:rPr>
                  <w:rStyle w:val="ad"/>
                </w:rPr>
                <w:t xml:space="preserve">http://www.ambysoft.com/downloads/javaCodingStandards.pdf</w:t>
              </w:r>
            </w:hyperlink>
          </w:p>
        </w:tc>
      </w:tr>
      <w:tr>
        <w:tc>
          <w:tcPr/>
          <w:p>
            <w:pPr>
              <w:pStyle w:val="Compact"/>
              <w:jc w:val="left"/>
            </w:pPr>
            <w:r>
              <w:t xml:space="preserve">オブジェクト倶楽部版 Java コーディング標準</w:t>
            </w:r>
          </w:p>
        </w:tc>
        <w:tc>
          <w:tcPr/>
          <w:p>
            <w:pPr>
              <w:pStyle w:val="Compact"/>
              <w:jc w:val="left"/>
            </w:pPr>
            <w:r>
              <w:t xml:space="preserve">オブジェクト倶楽部</w:t>
            </w:r>
          </w:p>
        </w:tc>
        <w:tc>
          <w:tcPr/>
          <w:p>
            <w:pPr>
              <w:pStyle w:val="Compact"/>
              <w:jc w:val="left"/>
            </w:pPr>
            <w:hyperlink r:id="rId22">
              <w:r>
                <w:rPr>
                  <w:rStyle w:val="ad"/>
                </w:rPr>
                <w:t xml:space="preserve">http://objectclub.jp/community/codingstandard/CodingStd.pdf</w:t>
              </w:r>
            </w:hyperlink>
          </w:p>
        </w:tc>
      </w:tr>
      <w:tr>
        <w:tc>
          <w:tcPr/>
          <w:p>
            <w:pPr>
              <w:pStyle w:val="Compact"/>
              <w:jc w:val="left"/>
            </w:pPr>
            <w:r>
              <w:t xml:space="preserve">電通国際情報際サービス版 Java コーディング規約 2004</w:t>
            </w:r>
          </w:p>
        </w:tc>
        <w:tc>
          <w:tcPr/>
          <w:p>
            <w:pPr>
              <w:pStyle w:val="Compact"/>
              <w:jc w:val="left"/>
            </w:pPr>
            <w:r>
              <w:t xml:space="preserve">電通国際情報サービス</w:t>
            </w:r>
          </w:p>
        </w:tc>
        <w:tc>
          <w:tcPr/>
          <w:p>
            <w:pPr>
              <w:pStyle w:val="Compact"/>
              <w:jc w:val="left"/>
            </w:pPr>
            <w:hyperlink r:id="rId23">
              <w:r>
                <w:rPr>
                  <w:rStyle w:val="ad"/>
                </w:rPr>
                <w:t xml:space="preserve">http://objectclub.jp/community/codingstandard/JavaCodingStandard2004.pdf</w:t>
              </w:r>
            </w:hyperlink>
          </w:p>
        </w:tc>
      </w:tr>
      <w:tr>
        <w:tc>
          <w:tcPr/>
          <w:p>
            <w:pPr>
              <w:pStyle w:val="Compact"/>
              <w:jc w:val="left"/>
            </w:pPr>
            <w:r>
              <w:t xml:space="preserve">JJGuideline （Java - J2EE Conventions and Guidelines）</w:t>
            </w:r>
          </w:p>
        </w:tc>
        <w:tc>
          <w:tcPr/>
          <w:p>
            <w:pPr>
              <w:pStyle w:val="Compact"/>
              <w:jc w:val="left"/>
            </w:pPr>
            <w:r>
              <w:t xml:space="preserve">Stephan.J &amp; JCS Team</w:t>
            </w:r>
          </w:p>
        </w:tc>
        <w:tc>
          <w:tcPr/>
          <w:p>
            <w:pPr>
              <w:pStyle w:val="Compact"/>
              <w:jc w:val="left"/>
            </w:pPr>
            <w:hyperlink r:id="rId24">
              <w:r>
                <w:rPr>
                  <w:rStyle w:val="ad"/>
                </w:rPr>
                <w:t xml:space="preserve">http://www.fedict.belgium.be/sites/default/files/downloads/Java_J2EE_conventions_and_guidelines_EN.pdf</w:t>
              </w:r>
            </w:hyperlink>
          </w:p>
        </w:tc>
      </w:tr>
      <w:tr>
        <w:tc>
          <w:tcPr/>
          <w:p>
            <w:pPr>
              <w:pStyle w:val="Compact"/>
              <w:jc w:val="left"/>
            </w:pPr>
            <w:r>
              <w:t xml:space="preserve">Google Java Style (非公式和訳)</w:t>
            </w:r>
          </w:p>
        </w:tc>
        <w:tc>
          <w:tcPr/>
          <w:p>
            <w:pPr>
              <w:pStyle w:val="Compact"/>
              <w:jc w:val="left"/>
            </w:pPr>
            <w:r>
              <w:t xml:space="preserve">Google</w:t>
            </w:r>
          </w:p>
        </w:tc>
        <w:tc>
          <w:tcPr/>
          <w:p>
            <w:pPr>
              <w:pStyle w:val="Compact"/>
              <w:jc w:val="left"/>
            </w:pPr>
            <w:hyperlink r:id="rId25">
              <w:r>
                <w:rPr>
                  <w:rStyle w:val="ad"/>
                </w:rPr>
                <w:t xml:space="preserve">https://kazurof.github.io/GoogleJavaStyle-ja/</w:t>
              </w:r>
            </w:hyperlink>
          </w:p>
        </w:tc>
      </w:tr>
      <w:tr>
        <w:tc>
          <w:tcPr/>
          <w:p>
            <w:pPr>
              <w:pStyle w:val="Compact"/>
              <w:jc w:val="left"/>
            </w:pPr>
            <w:r>
              <w:t xml:space="preserve">Acroquest Technology Java コーディング規約</w:t>
            </w:r>
          </w:p>
        </w:tc>
        <w:tc>
          <w:tcPr/>
          <w:p>
            <w:pPr>
              <w:pStyle w:val="Compact"/>
              <w:jc w:val="left"/>
            </w:pPr>
            <w:r>
              <w:t xml:space="preserve">Acroquest Technology</w:t>
            </w:r>
          </w:p>
        </w:tc>
        <w:tc>
          <w:tcPr/>
          <w:p>
            <w:pPr>
              <w:pStyle w:val="Compact"/>
              <w:jc w:val="left"/>
            </w:pPr>
            <w:hyperlink r:id="rId26">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7"/>
    <w:bookmarkStart w:id="34" w:name="規約の重要性"/>
    <w:p>
      <w:pPr>
        <w:pStyle w:val="1"/>
      </w:pPr>
      <w:r>
        <w:t xml:space="preserve">規約の重要性</w:t>
      </w:r>
    </w:p>
    <w:p>
      <w:pPr>
        <w:pStyle w:val="FirstParagraph"/>
      </w:pPr>
      <w:r>
        <w:t xml:space="preserve">標準としての規約を定義し、遵守することの重要性を以下に示す。</w:t>
      </w:r>
    </w:p>
    <w:p>
      <w:pPr>
        <w:numPr>
          <w:ilvl w:val="0"/>
          <w:numId w:val="1001"/>
        </w:numPr>
        <w:pStyle w:val="Compact"/>
      </w:pPr>
      <w:r>
        <w:t xml:space="preserve">ソフトウェアメンテナンスにおける、可読性・保守性・拡張性の向上</w:t>
      </w:r>
    </w:p>
    <w:p>
      <w:pPr>
        <w:numPr>
          <w:ilvl w:val="0"/>
          <w:numId w:val="1001"/>
        </w:numPr>
        <w:pStyle w:val="Compact"/>
      </w:pPr>
      <w:r>
        <w:t xml:space="preserve">問題を起こしやすい実装を未然に回避することによる、品質・生産性の向上</w:t>
      </w:r>
    </w:p>
    <w:p>
      <w:pPr>
        <w:numPr>
          <w:ilvl w:val="0"/>
          <w:numId w:val="1001"/>
        </w:numPr>
        <w:pStyle w:val="Compact"/>
      </w:pPr>
      <w:r>
        <w:t xml:space="preserve">標準規約を通して得られる一般的な実装知識やノウハウ（＝学習効果）</w:t>
      </w:r>
    </w:p>
    <w:bookmarkStart w:id="33" w:name="コーディングの心得"/>
    <w:p>
      <w:pPr>
        <w:pStyle w:val="2"/>
      </w:pPr>
      <w:r>
        <w:t xml:space="preserve">コーディングの心得</w:t>
      </w:r>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Style w:val="Compact"/>
      </w:pPr>
      <w:r>
        <w:t xml:space="preserve">見やすさを重視せよ</w:t>
      </w:r>
    </w:p>
    <w:p>
      <w:pPr>
        <w:numPr>
          <w:ilvl w:val="0"/>
          <w:numId w:val="1002"/>
        </w:numPr>
        <w:pStyle w:val="Compact"/>
      </w:pPr>
      <w:r>
        <w:t xml:space="preserve">ネーミングはわかりやすく</w:t>
      </w:r>
    </w:p>
    <w:p>
      <w:pPr>
        <w:numPr>
          <w:ilvl w:val="0"/>
          <w:numId w:val="1002"/>
        </w:numPr>
        <w:pStyle w:val="Compact"/>
      </w:pPr>
      <w:r>
        <w:t xml:space="preserve">サンプルを鵜呑みにしない</w:t>
      </w:r>
    </w:p>
    <w:p>
      <w:pPr>
        <w:numPr>
          <w:ilvl w:val="0"/>
          <w:numId w:val="1002"/>
        </w:numPr>
        <w:pStyle w:val="Compact"/>
      </w:pPr>
      <w:r>
        <w:t xml:space="preserve">同じコードを二度書かない</w:t>
      </w:r>
    </w:p>
    <w:p>
      <w:pPr>
        <w:numPr>
          <w:ilvl w:val="0"/>
          <w:numId w:val="1002"/>
        </w:numPr>
        <w:pStyle w:val="Compact"/>
      </w:pPr>
      <w:r>
        <w:t xml:space="preserve">役割は一つに</w:t>
      </w:r>
    </w:p>
    <w:bookmarkStart w:id="28" w:name="見やすさを重視せよ"/>
    <w:p>
      <w:pPr>
        <w:pStyle w:val="3"/>
      </w:pPr>
      <w:r>
        <w:t xml:space="preserve">見やすさを重視せよ</w:t>
      </w:r>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28"/>
    <w:bookmarkStart w:id="29" w:name="ネーミングはわかりやすく"/>
    <w:p>
      <w:pPr>
        <w:pStyle w:val="3"/>
      </w:pPr>
      <w:r>
        <w:t xml:space="preserve">ネーミングはわかりやすく</w:t>
      </w:r>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bookmarkEnd w:id="29"/>
    <w:bookmarkStart w:id="30" w:name="サンプルを鵜呑みにしない"/>
    <w:p>
      <w:pPr>
        <w:pStyle w:val="3"/>
      </w:pPr>
      <w:r>
        <w:t xml:space="preserve">サンプルを鵜呑みにしない</w:t>
      </w:r>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0"/>
    <w:bookmarkStart w:id="31" w:name="同じコードは二度書かない"/>
    <w:p>
      <w:pPr>
        <w:pStyle w:val="3"/>
      </w:pPr>
      <w:r>
        <w:t xml:space="preserve">同じコードは二度書かない</w:t>
      </w:r>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1"/>
    <w:bookmarkStart w:id="32" w:name="役割は一つに"/>
    <w:p>
      <w:pPr>
        <w:pStyle w:val="3"/>
      </w:pPr>
      <w:r>
        <w:t xml:space="preserve">役割は一つに</w:t>
      </w:r>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bookmarkEnd w:id="32"/>
    <w:bookmarkEnd w:id="33"/>
    <w:bookmarkEnd w:id="34"/>
    <w:bookmarkStart w:id="43" w:name="ネーミング規約"/>
    <w:p>
      <w:pPr>
        <w:pStyle w:val="1"/>
      </w:pPr>
      <w:r>
        <w:t xml:space="preserve">ネーミング規約</w:t>
      </w:r>
    </w:p>
    <w:bookmarkStart w:id="35" w:name="全般"/>
    <w:p>
      <w:pPr>
        <w:pStyle w:val="2"/>
      </w:pPr>
      <w:r>
        <w:t xml:space="preserve">全般</w:t>
      </w:r>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5"/>
    <w:bookmarkStart w:id="36" w:name="パッケージ"/>
    <w:p>
      <w:pPr>
        <w:pStyle w:val="2"/>
      </w:pPr>
      <w:r>
        <w:t xml:space="preserve">パッケージ</w:t>
      </w:r>
    </w:p>
    <w:p>
      <w:pPr>
        <w:numPr>
          <w:ilvl w:val="0"/>
          <w:numId w:val="1004"/>
        </w:numPr>
        <w:pStyle w:val="Compact"/>
      </w:pPr>
      <w:r>
        <w:t xml:space="preserve">パッケージ名はすべて小文字にする</w:t>
      </w:r>
    </w:p>
    <w:p>
      <w:pPr>
        <w:numPr>
          <w:ilvl w:val="0"/>
          <w:numId w:val="1004"/>
        </w:numPr>
        <w:pStyle w:val="Compact"/>
      </w:pPr>
      <w:r>
        <w:t xml:space="preserve">パッケージ名は意味のある名前にする</w:t>
      </w:r>
    </w:p>
    <w:p>
      <w:pPr>
        <w:numPr>
          <w:ilvl w:val="0"/>
          <w:numId w:val="1004"/>
        </w:numPr>
        <w:pStyle w:val="Compact"/>
      </w:pPr>
      <w:r>
        <w:t xml:space="preserve">サブパッケージ名の重複は可能</w:t>
      </w:r>
    </w:p>
    <w:bookmarkEnd w:id="36"/>
    <w:bookmarkStart w:id="37" w:name="クラス"/>
    <w:p>
      <w:pPr>
        <w:pStyle w:val="2"/>
      </w:pPr>
      <w:r>
        <w:t xml:space="preserve">クラス</w:t>
      </w:r>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t xml:space="preserve">インターフェース名、Enum 名、Record 名はクラス名に準ずる</w:t>
      </w:r>
    </w:p>
    <w:bookmarkEnd w:id="37"/>
    <w:bookmarkStart w:id="38" w:name="メソッド"/>
    <w:p>
      <w:pPr>
        <w:pStyle w:val="2"/>
      </w:pPr>
      <w:r>
        <w:t xml:space="preserve">メソッド</w:t>
      </w:r>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38"/>
    <w:bookmarkStart w:id="39" w:name="引数"/>
    <w:p>
      <w:pPr>
        <w:pStyle w:val="2"/>
      </w:pPr>
      <w:r>
        <w:t xml:space="preserve">引数</w:t>
      </w:r>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39"/>
    <w:bookmarkStart w:id="40" w:name="変数全般"/>
    <w:p>
      <w:pPr>
        <w:pStyle w:val="2"/>
      </w:pPr>
      <w:r>
        <w:t xml:space="preserve">変数全般</w:t>
      </w:r>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t xml:space="preserve">定数は全て</w:t>
      </w:r>
      <w:r>
        <w:rPr>
          <w:rStyle w:val="VerbatimChar"/>
        </w:rPr>
        <w:t xml:space="preserve">static final</w:t>
      </w:r>
      <w:r>
        <w:t xml:space="preserve">とし、すべて大文字、区切りは”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0"/>
    <w:bookmarkStart w:id="41" w:name="ローカル変数"/>
    <w:p>
      <w:pPr>
        <w:pStyle w:val="2"/>
      </w:pPr>
      <w:r>
        <w:t xml:space="preserve">ローカル変数</w:t>
      </w:r>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“・・・を使う</w:t>
      </w:r>
    </w:p>
    <w:bookmarkEnd w:id="41"/>
    <w:bookmarkStart w:id="42" w:name="enum"/>
    <w:p>
      <w:pPr>
        <w:pStyle w:val="2"/>
      </w:pPr>
      <w:r>
        <w:t xml:space="preserve">Enum</w:t>
      </w:r>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2"/>
    <w:bookmarkEnd w:id="43"/>
    <w:bookmarkStart w:id="83" w:name="コーディング規約"/>
    <w:p>
      <w:pPr>
        <w:pStyle w:val="1"/>
      </w:pPr>
      <w:r>
        <w:t xml:space="preserve">コーディング規約</w:t>
      </w:r>
    </w:p>
    <w:bookmarkStart w:id="44" w:name="全般-1"/>
    <w:p>
      <w:pPr>
        <w:pStyle w:val="2"/>
      </w:pPr>
      <w:r>
        <w:t xml:space="preserve">全般</w:t>
      </w:r>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4"/>
    <w:bookmarkStart w:id="45" w:name="フォーマット"/>
    <w:p>
      <w:pPr>
        <w:pStyle w:val="2"/>
      </w:pPr>
      <w:r>
        <w:t xml:space="preserve">フォーマット</w:t>
      </w:r>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i </w:t>
      </w:r>
      <w:r>
        <w:rPr>
          <w:rStyle w:val="OperatorTok"/>
        </w:rPr>
        <w:t xml:space="preserve">++;</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5"/>
    <w:bookmarkStart w:id="46" w:name="コメント"/>
    <w:p>
      <w:pPr>
        <w:pStyle w:val="2"/>
      </w:pPr>
      <w:r>
        <w:t xml:space="preserve">コメント</w:t>
      </w:r>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Style w:val="Compact"/>
      </w:pPr>
      <w:r>
        <w:t xml:space="preserve">今後もバージョンアップのリリースが予定されているソースでは、上記に加えて since（バージョン）を記述する</w:t>
      </w:r>
    </w:p>
    <w:p>
      <w:pPr>
        <w:numPr>
          <w:ilvl w:val="1"/>
          <w:numId w:val="1014"/>
        </w:numPr>
        <w:pStyle w:val="Compact"/>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NormalTok"/>
        </w:rPr>
        <w:t xml:space="preserve">author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version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NormalTok"/>
        </w:rPr>
        <w:t xml:space="preserve">return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t xml:space="preserve">不要なコメントは記載しない</w:t>
      </w:r>
    </w:p>
    <w:p>
      <w:pPr>
        <w:numPr>
          <w:ilvl w:val="1"/>
          <w:numId w:val="1015"/>
        </w:numPr>
        <w:pStyle w:val="Compact"/>
      </w:pPr>
      <w:r>
        <w:t xml:space="preserve">コードからすぐわかること・冗長なコメント</w:t>
      </w:r>
    </w:p>
    <w:p>
      <w:pPr>
        <w:numPr>
          <w:ilvl w:val="1"/>
          <w:numId w:val="1015"/>
        </w:numPr>
        <w:pStyle w:val="Compact"/>
      </w:pPr>
      <w:r>
        <w:t xml:space="preserve">名前の説明</w:t>
      </w:r>
      <w:r>
        <w:br/>
      </w:r>
      <w:r>
        <w:t xml:space="preserve">コメントではなくわかりやすい名前を付ける。</w:t>
      </w:r>
    </w:p>
    <w:p>
      <w:pPr>
        <w:numPr>
          <w:ilvl w:val="1"/>
          <w:numId w:val="1015"/>
        </w:numPr>
        <w:pStyle w:val="Compact"/>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Style w:val="Compact"/>
      </w:pPr>
      <w:r>
        <w:t xml:space="preserve">コメントアウトされたコード</w:t>
      </w:r>
      <w:r>
        <w:br/>
      </w:r>
      <w:r>
        <w:t xml:space="preserve">ソースコード管理システムで管理されている</w:t>
      </w:r>
    </w:p>
    <w:bookmarkEnd w:id="46"/>
    <w:bookmarkStart w:id="47"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7"/>
    <w:bookmarkStart w:id="48" w:name="コンストラクタ"/>
    <w:p>
      <w:pPr>
        <w:pStyle w:val="2"/>
      </w:pPr>
      <w:r>
        <w:t xml:space="preserve">コンストラクタ</w:t>
      </w:r>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bookmarkEnd w:id="48"/>
    <w:bookmarkStart w:id="49"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つの役割にする</w:t>
      </w:r>
    </w:p>
    <w:bookmarkEnd w:id="49"/>
    <w:bookmarkStart w:id="50" w:name="クラスメソッド"/>
    <w:p>
      <w:pPr>
        <w:pStyle w:val="2"/>
      </w:pPr>
      <w:r>
        <w:t xml:space="preserve">クラスメソッド</w:t>
      </w:r>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0"/>
    <w:bookmarkStart w:id="51" w:name="変数全般-1"/>
    <w:p>
      <w:pPr>
        <w:pStyle w:val="2"/>
      </w:pPr>
      <w:r>
        <w:t xml:space="preserve">変数全般</w:t>
      </w:r>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bookmarkEnd w:id="51"/>
    <w:bookmarkStart w:id="52" w:name="定数"/>
    <w:p>
      <w:pPr>
        <w:pStyle w:val="2"/>
      </w:pPr>
      <w:r>
        <w:t xml:space="preserve">定数</w:t>
      </w:r>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2"/>
    <w:bookmarkStart w:id="53" w:name="インスタンス変数"/>
    <w:p>
      <w:pPr>
        <w:pStyle w:val="2"/>
      </w:pPr>
      <w:r>
        <w:t xml:space="preserve">インスタンス変数</w:t>
      </w:r>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3"/>
    <w:bookmarkStart w:id="54" w:name="クラス変数"/>
    <w:p>
      <w:pPr>
        <w:pStyle w:val="2"/>
      </w:pPr>
      <w:r>
        <w:t xml:space="preserve">クラス変数</w:t>
      </w:r>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4"/>
    <w:bookmarkStart w:id="55" w:name="ローカル変数-1"/>
    <w:p>
      <w:pPr>
        <w:pStyle w:val="2"/>
      </w:pPr>
      <w:r>
        <w:t xml:space="preserve">ローカル変数</w:t>
      </w:r>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5"/>
    <w:bookmarkStart w:id="56" w:name="引数-1"/>
    <w:p>
      <w:pPr>
        <w:pStyle w:val="2"/>
      </w:pPr>
      <w:r>
        <w:t xml:space="preserve">引数</w:t>
      </w:r>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6"/>
    <w:bookmarkStart w:id="57" w:name="継承"/>
    <w:p>
      <w:pPr>
        <w:pStyle w:val="2"/>
      </w:pPr>
      <w:r>
        <w:t xml:space="preserve">継承</w:t>
      </w:r>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bookmarkEnd w:id="57"/>
    <w:bookmarkStart w:id="58" w:name="インナークラス"/>
    <w:p>
      <w:pPr>
        <w:pStyle w:val="2"/>
      </w:pPr>
      <w:r>
        <w:t xml:space="preserve">インナークラス</w:t>
      </w:r>
    </w:p>
    <w:p>
      <w:pPr>
        <w:numPr>
          <w:ilvl w:val="0"/>
          <w:numId w:val="1030"/>
        </w:numPr>
        <w:pStyle w:val="Compact"/>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bookmarkEnd w:id="58"/>
    <w:bookmarkStart w:id="59" w:name="メンバー順序"/>
    <w:p>
      <w:pPr>
        <w:pStyle w:val="2"/>
      </w:pPr>
      <w:r>
        <w:t xml:space="preserve">メンバー順序</w:t>
      </w:r>
    </w:p>
    <w:p>
      <w:pPr>
        <w:numPr>
          <w:ilvl w:val="0"/>
          <w:numId w:val="1031"/>
        </w:numPr>
      </w:pPr>
      <w:r>
        <w:t xml:space="preserve">以下の順で記述する</w:t>
      </w:r>
    </w:p>
    <w:p>
      <w:pPr>
        <w:numPr>
          <w:ilvl w:val="1"/>
          <w:numId w:val="1032"/>
        </w:numPr>
        <w:pStyle w:val="Compact"/>
      </w:pPr>
      <w:r>
        <w:t xml:space="preserve">static フィールド</w:t>
      </w:r>
    </w:p>
    <w:p>
      <w:pPr>
        <w:numPr>
          <w:ilvl w:val="1"/>
          <w:numId w:val="1032"/>
        </w:numPr>
        <w:pStyle w:val="Compact"/>
      </w:pPr>
      <w:r>
        <w:t xml:space="preserve">static イニシャライザー</w:t>
      </w:r>
    </w:p>
    <w:p>
      <w:pPr>
        <w:numPr>
          <w:ilvl w:val="1"/>
          <w:numId w:val="1032"/>
        </w:numPr>
        <w:pStyle w:val="Compact"/>
      </w:pPr>
      <w:r>
        <w:t xml:space="preserve">static メソッド</w:t>
      </w:r>
    </w:p>
    <w:p>
      <w:pPr>
        <w:numPr>
          <w:ilvl w:val="1"/>
          <w:numId w:val="1032"/>
        </w:numPr>
        <w:pStyle w:val="Compact"/>
      </w:pPr>
      <w:r>
        <w:t xml:space="preserve">フィールド</w:t>
      </w:r>
    </w:p>
    <w:p>
      <w:pPr>
        <w:numPr>
          <w:ilvl w:val="1"/>
          <w:numId w:val="1032"/>
        </w:numPr>
        <w:pStyle w:val="Compact"/>
      </w:pPr>
      <w:r>
        <w:t xml:space="preserve">イニシャライザー</w:t>
      </w:r>
    </w:p>
    <w:p>
      <w:pPr>
        <w:numPr>
          <w:ilvl w:val="1"/>
          <w:numId w:val="1032"/>
        </w:numPr>
        <w:pStyle w:val="Compact"/>
      </w:pPr>
      <w:r>
        <w:t xml:space="preserve">コンストラクター</w:t>
      </w:r>
    </w:p>
    <w:p>
      <w:pPr>
        <w:numPr>
          <w:ilvl w:val="1"/>
          <w:numId w:val="1032"/>
        </w:numPr>
        <w:pStyle w:val="Compact"/>
      </w:pPr>
      <w:r>
        <w:t xml:space="preserve">メソッド</w:t>
      </w:r>
    </w:p>
    <w:p>
      <w:pPr>
        <w:numPr>
          <w:ilvl w:val="0"/>
          <w:numId w:val="1031"/>
        </w:numPr>
      </w:pPr>
      <w:r>
        <w:t xml:space="preserve">同一カテゴリー内では以下の可視性の順で記述する</w:t>
      </w:r>
    </w:p>
    <w:p>
      <w:pPr>
        <w:numPr>
          <w:ilvl w:val="1"/>
          <w:numId w:val="1033"/>
        </w:numPr>
        <w:pStyle w:val="Compact"/>
      </w:pPr>
      <w:r>
        <w:t xml:space="preserve">public</w:t>
      </w:r>
    </w:p>
    <w:p>
      <w:pPr>
        <w:numPr>
          <w:ilvl w:val="1"/>
          <w:numId w:val="1033"/>
        </w:numPr>
        <w:pStyle w:val="Compact"/>
      </w:pPr>
      <w:r>
        <w:t xml:space="preserve">protected</w:t>
      </w:r>
    </w:p>
    <w:p>
      <w:pPr>
        <w:numPr>
          <w:ilvl w:val="1"/>
          <w:numId w:val="1033"/>
        </w:numPr>
        <w:pStyle w:val="Compact"/>
      </w:pPr>
      <w:r>
        <w:t xml:space="preserve">パッケージ private</w:t>
      </w:r>
    </w:p>
    <w:p>
      <w:pPr>
        <w:numPr>
          <w:ilvl w:val="1"/>
          <w:numId w:val="1033"/>
        </w:numPr>
        <w:pStyle w:val="Compact"/>
      </w:pPr>
      <w:r>
        <w:t xml:space="preserve">private</w:t>
      </w:r>
    </w:p>
    <w:bookmarkEnd w:id="59"/>
    <w:bookmarkStart w:id="60" w:name="インスタンス"/>
    <w:p>
      <w:pPr>
        <w:pStyle w:val="2"/>
      </w:pPr>
      <w:r>
        <w:t xml:space="preserve">インスタンス</w:t>
      </w:r>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bookmarkEnd w:id="60"/>
    <w:bookmarkStart w:id="61" w:name="制御構造"/>
    <w:p>
      <w:pPr>
        <w:pStyle w:val="2"/>
      </w:pPr>
      <w:r>
        <w:t xml:space="preserve">制御構造</w:t>
      </w:r>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1"/>
    <w:bookmarkStart w:id="62" w:name="文字列操作"/>
    <w:p>
      <w:pPr>
        <w:pStyle w:val="2"/>
      </w:pPr>
      <w:r>
        <w:t xml:space="preserve">文字列操作</w:t>
      </w:r>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2"/>
    <w:bookmarkStart w:id="63" w:name="数値"/>
    <w:p>
      <w:pPr>
        <w:pStyle w:val="2"/>
      </w:pPr>
      <w:r>
        <w:t xml:space="preserve">数値</w:t>
      </w:r>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bookmarkEnd w:id="63"/>
    <w:bookmarkStart w:id="64" w:name="日付"/>
    <w:p>
      <w:pPr>
        <w:pStyle w:val="2"/>
      </w:pPr>
      <w:r>
        <w:t xml:space="preserve">日付</w:t>
      </w:r>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4"/>
    <w:bookmarkStart w:id="65" w:name="三項演算子"/>
    <w:p>
      <w:pPr>
        <w:pStyle w:val="2"/>
      </w:pPr>
      <w:r>
        <w:t xml:space="preserve">三項演算子</w:t>
      </w:r>
    </w:p>
    <w:p>
      <w:pPr>
        <w:numPr>
          <w:ilvl w:val="0"/>
          <w:numId w:val="1039"/>
        </w:numPr>
        <w:pStyle w:val="Compact"/>
      </w:pPr>
      <w:r>
        <w:t xml:space="preserve">入れ子の三項演算子の利用は禁止</w:t>
      </w:r>
      <w:r>
        <w:br/>
      </w:r>
      <w:r>
        <w:t xml:space="preserve">可読性が悪くなるので三項演算子を入れ子で行うのは禁止。</w:t>
      </w:r>
    </w:p>
    <w:bookmarkEnd w:id="65"/>
    <w:bookmarkStart w:id="67" w:name="switch-式"/>
    <w:p>
      <w:pPr>
        <w:pStyle w:val="2"/>
      </w:pPr>
      <w:r>
        <w:t xml:space="preserve">switch 式</w:t>
      </w:r>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yield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Operator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7"/>
    <w:bookmarkStart w:id="68" w:name="switch-文"/>
    <w:p>
      <w:pPr>
        <w:pStyle w:val="2"/>
      </w:pPr>
      <w:r>
        <w:t xml:space="preserve">switch 文</w:t>
      </w:r>
    </w:p>
    <w:p>
      <w:pPr>
        <w:numPr>
          <w:ilvl w:val="0"/>
          <w:numId w:val="1041"/>
        </w:numPr>
      </w:pPr>
      <w:r>
        <w:t xml:space="preserve">代わりに switch 式が使用できる箇所は switch 式を使用する</w:t>
      </w:r>
    </w:p>
    <w:p>
      <w:pPr>
        <w:numPr>
          <w:ilvl w:val="1"/>
          <w:numId w:val="1042"/>
        </w:numPr>
        <w:pStyle w:val="Compact"/>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68"/>
    <w:bookmarkStart w:id="69" w:name="コレクション"/>
    <w:p>
      <w:pPr>
        <w:pStyle w:val="2"/>
      </w:pPr>
      <w:r>
        <w:t xml:space="preserve">コレクション</w:t>
      </w:r>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Style w:val="Compact"/>
      </w:pPr>
      <w:r>
        <w:rPr>
          <w:rStyle w:val="VerbatimChar"/>
        </w:rPr>
        <w:t xml:space="preserve">Collection#forEach</w:t>
      </w:r>
    </w:p>
    <w:p>
      <w:pPr>
        <w:numPr>
          <w:ilvl w:val="1"/>
          <w:numId w:val="1044"/>
        </w:numPr>
        <w:pStyle w:val="Compact"/>
      </w:pPr>
      <w:r>
        <w:rPr>
          <w:rStyle w:val="VerbatimChar"/>
        </w:rPr>
        <w:t xml:space="preserve">Set#forEach</w:t>
      </w:r>
    </w:p>
    <w:p>
      <w:pPr>
        <w:numPr>
          <w:ilvl w:val="1"/>
          <w:numId w:val="1044"/>
        </w:numPr>
        <w:pStyle w:val="Compact"/>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Style w:val="Compact"/>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bookmarkEnd w:id="69"/>
    <w:bookmarkStart w:id="70" w:name="ラムダ式メソッド参照コンストラクタ参照"/>
    <w:p>
      <w:pPr>
        <w:pStyle w:val="2"/>
      </w:pPr>
      <w:r>
        <w:t xml:space="preserve">ラムダ式・メソッド参照・コンストラクタ参照</w:t>
      </w:r>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OperatorTok"/>
        </w:rPr>
        <w:t xml:space="preserve">::</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t xml:space="preserve">良い例：</w:t>
      </w:r>
    </w:p>
    <w:p>
      <w:pPr>
        <w:numPr>
          <w:ilvl w:val="0"/>
          <w:numId w:val="1000"/>
        </w:numPr>
        <w:pStyle w:val="SourceCode"/>
      </w:pPr>
      <w:r>
        <w:rPr>
          <w:rStyle w:val="BuiltInTok"/>
        </w:rPr>
        <w:t xml:space="preserve">BigDecimal</w:t>
      </w:r>
      <w:r>
        <w:rPr>
          <w:rStyle w:val="OperatorTok"/>
        </w:rPr>
        <w:t xml:space="preserve">::</w:t>
      </w:r>
      <w:r>
        <w:rPr>
          <w:rStyle w:val="NormalTok"/>
        </w:rPr>
        <w:t xml:space="preserve">add</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0"/>
    <w:bookmarkStart w:id="71" w:name="実質的-finaleffectively-final"/>
    <w:p>
      <w:pPr>
        <w:pStyle w:val="2"/>
      </w:pPr>
      <w:r>
        <w:t xml:space="preserve">実質的 final（effectively final）</w:t>
      </w:r>
    </w:p>
    <w:p>
      <w:pPr>
        <w:numPr>
          <w:ilvl w:val="0"/>
          <w:numId w:val="1047"/>
        </w:numPr>
        <w:pStyle w:val="Compact"/>
      </w:pPr>
      <w:r>
        <w:t xml:space="preserve">実質的 final を利用する</w:t>
      </w:r>
      <w:r>
        <w:br/>
      </w:r>
      <w:r>
        <w:t xml:space="preserve">変数宣言に</w:t>
      </w:r>
      <w:r>
        <w:rPr>
          <w:rStyle w:val="VerbatimChar"/>
        </w:rPr>
        <w:t xml:space="preserve">final</w:t>
      </w:r>
      <w:r>
        <w:t xml:space="preserve">を記載しなくてよい。</w:t>
      </w:r>
    </w:p>
    <w:bookmarkEnd w:id="71"/>
    <w:bookmarkStart w:id="72" w:name="stream-api"/>
    <w:p>
      <w:pPr>
        <w:pStyle w:val="2"/>
      </w:pPr>
      <w:r>
        <w:t xml:space="preserve">Stream API</w:t>
      </w:r>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2"/>
    <w:bookmarkStart w:id="73" w:name="optional"/>
    <w:p>
      <w:pPr>
        <w:pStyle w:val="2"/>
      </w:pPr>
      <w:r>
        <w:t xml:space="preserve">Optional</w:t>
      </w:r>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3"/>
    <w:bookmarkStart w:id="75" w:name="var-local-variable-type-inference"/>
    <w:p>
      <w:pPr>
        <w:pStyle w:val="2"/>
      </w:pPr>
      <w:r>
        <w:t xml:space="preserve">var (Local-Variable Type Inference)</w:t>
      </w:r>
    </w:p>
    <w:p>
      <w:pPr>
        <w:pStyle w:val="FirstParagraph"/>
      </w:pPr>
      <w:r>
        <w:t xml:space="preserve">次のリンクも参考にしてください。</w:t>
      </w:r>
      <w:r>
        <w:br/>
      </w:r>
      <w:hyperlink r:id="rId74">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Style w:val="Compact"/>
      </w:pPr>
      <w:r>
        <w:rPr>
          <w:rStyle w:val="VerbatimChar"/>
        </w:rPr>
        <w:t xml:space="preserve">var</w:t>
      </w:r>
      <w:r>
        <w:t xml:space="preserve">を利用しない</w:t>
      </w:r>
    </w:p>
    <w:p>
      <w:pPr>
        <w:numPr>
          <w:ilvl w:val="1"/>
          <w:numId w:val="1051"/>
        </w:numPr>
        <w:pStyle w:val="Compact"/>
      </w:pPr>
      <w:r>
        <w:t xml:space="preserve">原則</w:t>
      </w:r>
      <w:r>
        <w:rPr>
          <w:rStyle w:val="VerbatimChar"/>
        </w:rPr>
        <w:t xml:space="preserve">var</w:t>
      </w:r>
      <w:r>
        <w:t xml:space="preserve">を利用する</w:t>
      </w:r>
    </w:p>
    <w:p>
      <w:pPr>
        <w:numPr>
          <w:ilvl w:val="1"/>
          <w:numId w:val="1051"/>
        </w:numPr>
        <w:pStyle w:val="Compact"/>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5"/>
    <w:bookmarkStart w:id="76" w:name="レコード"/>
    <w:p>
      <w:pPr>
        <w:pStyle w:val="2"/>
      </w:pPr>
      <w:r>
        <w:t xml:space="preserve">レコード</w:t>
      </w:r>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NormalTok"/>
        </w:rPr>
        <w:t xml:space="preserve">param x      </w:t>
      </w:r>
      <w:r>
        <w:rPr>
          <w:rStyle w:val="CommentTok"/>
        </w:rPr>
        <w:t xml:space="preserve">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y      </w:t>
      </w:r>
      <w:r>
        <w:rPr>
          <w:rStyle w:val="CommentTok"/>
        </w:rPr>
        <w:t xml:space="preserve">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width  </w:t>
      </w:r>
      <w:r>
        <w:rPr>
          <w:rStyle w:val="CommentTok"/>
        </w:rPr>
        <w:t xml:space="preserve">矩形の幅</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height </w:t>
      </w:r>
      <w:r>
        <w:rPr>
          <w:rStyle w:val="Comment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Style w:val="Compact"/>
      </w:pPr>
      <w:r>
        <w:t xml:space="preserve">アノテーションを付与したときでも比較的読みやすい（アノテーション引数との混在による可読性の低下の回避）</w:t>
      </w:r>
    </w:p>
    <w:p>
      <w:pPr>
        <w:numPr>
          <w:ilvl w:val="2"/>
          <w:numId w:val="1055"/>
        </w:numPr>
        <w:pStyle w:val="Compact"/>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
    <w:bookmarkStart w:id="78" w:name="テキストブロック"/>
    <w:p>
      <w:pPr>
        <w:pStyle w:val="2"/>
      </w:pPr>
      <w:r>
        <w:t xml:space="preserve">テキストブロック</w:t>
      </w:r>
    </w:p>
    <w:p>
      <w:pPr>
        <w:pStyle w:val="FirstParagraph"/>
      </w:pPr>
      <w:r>
        <w:t xml:space="preserve">次のリンクも参考にしてください。</w:t>
      </w:r>
      <w:r>
        <w:br/>
      </w:r>
      <w:hyperlink r:id="rId77">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NormalTok"/>
        </w:rPr>
        <w:t xml:space="preserve">        名前</w:t>
      </w:r>
      <w:r>
        <w:rPr>
          <w:rStyle w:val="OperatorTok"/>
        </w:rPr>
        <w:t xml:space="preserve">,</w:t>
      </w:r>
      <w:r>
        <w:rPr>
          <w:rStyle w:val="NormalTok"/>
        </w:rPr>
        <w:t xml:space="preserve">説明</w:t>
      </w:r>
      <w:r>
        <w:rPr>
          <w:rStyle w:val="OperatorTok"/>
        </w:rPr>
        <w:t xml:space="preserve">,</w:t>
      </w:r>
      <w:r>
        <w:rPr>
          <w:rStyle w:val="NormalTok"/>
        </w:rPr>
        <w:t xml:space="preserve">MIMEタイプ</w:t>
      </w:r>
      <w:r>
        <w:br/>
      </w:r>
      <w:r>
        <w:rPr>
          <w:rStyle w:val="NormalTok"/>
        </w:rPr>
        <w:t xml:space="preserve">        CSV</w:t>
      </w:r>
      <w:r>
        <w:rPr>
          <w:rStyle w:val="OperatorTok"/>
        </w:rPr>
        <w:t xml:space="preserve">,</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OperatorTok"/>
        </w:rPr>
        <w:t xml:space="preserve">,</w:t>
      </w:r>
      <w:r>
        <w:rPr>
          <w:rStyle w:val="StringTok"/>
        </w:rPr>
        <w:t xml:space="preserve">"text/csv"</w:t>
      </w:r>
      <w:r>
        <w:br/>
      </w:r>
      <w:r>
        <w:rPr>
          <w:rStyle w:val="NormalTok"/>
        </w:rPr>
        <w:t xml:space="preserve">        TSV</w:t>
      </w:r>
      <w:r>
        <w:rPr>
          <w:rStyle w:val="OperatorTok"/>
        </w:rPr>
        <w:t xml:space="preserve">,</w:t>
      </w:r>
      <w:r>
        <w:rPr>
          <w:rStyle w:val="StringTok"/>
        </w:rPr>
        <w:t xml:space="preserve">"Tab-Separated Valuesの略"</w:t>
      </w:r>
      <w:r>
        <w:rPr>
          <w:rStyle w:val="Operator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bookmarkEnd w:id="78"/>
    <w:bookmarkStart w:id="79" w:name="ストリームinputstream-outputstream"/>
    <w:p>
      <w:pPr>
        <w:pStyle w:val="2"/>
      </w:pPr>
      <w:r>
        <w:t xml:space="preserve">ストリーム（InputStream OutputStream）</w:t>
      </w:r>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bookmarkEnd w:id="79"/>
    <w:bookmarkStart w:id="80" w:name="リソースの解放"/>
    <w:p>
      <w:pPr>
        <w:pStyle w:val="2"/>
      </w:pPr>
      <w:r>
        <w:t xml:space="preserve">リソースの解放</w:t>
      </w:r>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bookmarkEnd w:id="80"/>
    <w:bookmarkStart w:id="81" w:name="例外"/>
    <w:p>
      <w:pPr>
        <w:pStyle w:val="2"/>
      </w:pPr>
      <w:r>
        <w:t xml:space="preserve">例外</w:t>
      </w:r>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bookmarkEnd w:id="81"/>
    <w:bookmarkStart w:id="82" w:name="ガベージコレクション"/>
    <w:p>
      <w:pPr>
        <w:pStyle w:val="2"/>
      </w:pPr>
      <w:r>
        <w:t xml:space="preserve">ガベージコレクション</w:t>
      </w:r>
    </w:p>
    <w:p>
      <w:pPr>
        <w:numPr>
          <w:ilvl w:val="0"/>
          <w:numId w:val="1060"/>
        </w:numPr>
        <w:pStyle w:val="Compact"/>
      </w:pPr>
      <w:r>
        <w:t xml:space="preserve">原則</w:t>
      </w:r>
      <w:r>
        <w:rPr>
          <w:rStyle w:val="VerbatimChar"/>
        </w:rPr>
        <w:t xml:space="preserve">finalize()</w:t>
      </w:r>
      <w:r>
        <w:t xml:space="preserve">のオーバーライド実装は禁止</w:t>
      </w:r>
    </w:p>
    <w:p>
      <w:pPr>
        <w:numPr>
          <w:ilvl w:val="0"/>
          <w:numId w:val="1060"/>
        </w:numPr>
        <w:pStyle w:val="Compact"/>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Style w:val="Compact"/>
      </w:pPr>
      <w:r>
        <w:t xml:space="preserve">アプリケーションから</w:t>
      </w:r>
      <w:r>
        <w:rPr>
          <w:rStyle w:val="VerbatimChar"/>
        </w:rPr>
        <w:t xml:space="preserve">finalize()</w:t>
      </w:r>
      <w:r>
        <w:t xml:space="preserve">を呼び出さない</w:t>
      </w:r>
    </w:p>
    <w:bookmarkEnd w:id="82"/>
    <w:bookmarkEnd w:id="83"/>
    <w:bookmarkStart w:id="86" w:name="コメント規約"/>
    <w:p>
      <w:pPr>
        <w:pStyle w:val="1"/>
      </w:pPr>
      <w:r>
        <w:t xml:space="preserve">コメント規約</w:t>
      </w:r>
    </w:p>
    <w:bookmarkStart w:id="84" w:name="よいコメントの鉄則"/>
    <w:p>
      <w:pPr>
        <w:pStyle w:val="2"/>
      </w:pPr>
      <w:r>
        <w:t xml:space="preserve">よいコメントの鉄則</w:t>
      </w:r>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Style w:val="Compact"/>
      </w:pPr>
      <w:r>
        <w:t xml:space="preserve">副作用のある処理の場合は、その内容　（→ メソッドの引数オブジェクトがメソッド内で変更されるケースなど）</w:t>
      </w:r>
    </w:p>
    <w:p>
      <w:pPr>
        <w:numPr>
          <w:ilvl w:val="1"/>
          <w:numId w:val="1062"/>
        </w:numPr>
        <w:pStyle w:val="Compact"/>
      </w:pPr>
      <w:r>
        <w:t xml:space="preserve">既知のバグ　（→ 判明しているが修正しないことにした場合など）</w:t>
      </w:r>
    </w:p>
    <w:p>
      <w:pPr>
        <w:numPr>
          <w:ilvl w:val="1"/>
          <w:numId w:val="1062"/>
        </w:numPr>
        <w:pStyle w:val="Compact"/>
      </w:pPr>
      <w:r>
        <w:t xml:space="preserve">影響のある事前条件、事後条件　（→ メソッドが正しく動作するための前提について）</w:t>
      </w:r>
    </w:p>
    <w:p>
      <w:pPr>
        <w:numPr>
          <w:ilvl w:val="1"/>
          <w:numId w:val="1062"/>
        </w:numPr>
        <w:pStyle w:val="Compact"/>
      </w:pPr>
      <w:r>
        <w:t xml:space="preserve">並行性　（→ 　マルチスレッドでアクセスされた場合の動作について）</w:t>
      </w:r>
    </w:p>
    <w:p>
      <w:pPr>
        <w:numPr>
          <w:ilvl w:val="1"/>
          <w:numId w:val="1062"/>
        </w:numPr>
        <w:pStyle w:val="Compact"/>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bookmarkEnd w:id="84"/>
    <w:bookmarkStart w:id="85" w:name="java-コメント3-種類の使い分け"/>
    <w:p>
      <w:pPr>
        <w:pStyle w:val="2"/>
      </w:pPr>
      <w:r>
        <w:t xml:space="preserve">Java コメント（3 種類）の使い分け</w:t>
      </w:r>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ook w:firstRow="1" w:lastRow="0" w:firstColumn="0" w:lastColumn="0" w:noHBand="0" w:noVBand="0" w:val="0020"/>
      </w:tblPr>
      <w:tblGrid>
        <w:gridCol w:w="670"/>
        <w:gridCol w:w="3671"/>
        <w:gridCol w:w="3577"/>
      </w:tblGrid>
      <w:tr>
        <w:trPr>
          <w:tblHeader w:val="true"/>
        </w:trPr>
        <w:tc>
          <w:tcPr/>
          <w:p>
            <w:pPr>
              <w:pStyle w:val="Compact"/>
              <w:jc w:val="left"/>
            </w:pPr>
            <w:r>
              <w:t xml:space="preserve">コメント種類</w:t>
            </w:r>
          </w:p>
        </w:tc>
        <w:tc>
          <w:tcPr/>
          <w:p>
            <w:pPr>
              <w:pStyle w:val="Compact"/>
              <w:jc w:val="left"/>
            </w:pPr>
            <w:r>
              <w:t xml:space="preserve">使用方法</w:t>
            </w:r>
          </w:p>
        </w:tc>
        <w:tc>
          <w:tcPr/>
          <w:p>
            <w:pPr>
              <w:pStyle w:val="Compact"/>
              <w:jc w:val="left"/>
            </w:pPr>
            <w:r>
              <w:t xml:space="preserve">例</w:t>
            </w:r>
          </w:p>
        </w:tc>
      </w:tr>
      <w:tr>
        <w:tc>
          <w:tcPr/>
          <w:p>
            <w:pPr>
              <w:pStyle w:val="Compact"/>
              <w:jc w:val="left"/>
            </w:pPr>
            <w:r>
              <w:t xml:space="preserve">javadoc コメント</w:t>
            </w:r>
            <w:r>
              <w:rPr>
                <w:rStyle w:val="VerbatimChar"/>
              </w:rPr>
              <w:t xml:space="preserve">/** comment */</w:t>
            </w:r>
          </w:p>
        </w:tc>
        <w:tc>
          <w:tcPr/>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tcPr/>
          <w:p>
            <w:pPr>
              <w:pStyle w:val="Compact"/>
              <w:jc w:val="left"/>
            </w:pPr>
            <w:r>
              <w:t xml:space="preserve">/*</w:t>
            </w:r>
            <w:r>
              <w:rPr>
                <w:iCs/>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tcPr/>
          <w:p>
            <w:pPr>
              <w:pStyle w:val="Compact"/>
              <w:jc w:val="left"/>
            </w:pPr>
            <w:r>
              <w:t xml:space="preserve">C 風コメント</w:t>
            </w:r>
            <w:r>
              <w:rPr>
                <w:rStyle w:val="VerbatimChar"/>
              </w:rPr>
              <w:t xml:space="preserve">/* comment */</w:t>
            </w:r>
          </w:p>
        </w:tc>
        <w:tc>
          <w:tcPr/>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tcPr/>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tcPr/>
          <w:p>
            <w:pPr>
              <w:pStyle w:val="Compact"/>
              <w:jc w:val="left"/>
            </w:pPr>
            <w:r>
              <w:t xml:space="preserve">単一行コメント</w:t>
            </w:r>
            <w:r>
              <w:rPr>
                <w:rStyle w:val="VerbatimChar"/>
              </w:rPr>
              <w:t xml:space="preserve">// comment</w:t>
            </w:r>
          </w:p>
        </w:tc>
        <w:tc>
          <w:tcPr/>
          <w:p>
            <w:pPr>
              <w:pStyle w:val="Compact"/>
              <w:jc w:val="left"/>
            </w:pPr>
            <w:r>
              <w:t xml:space="preserve">メソッド内にて、ビジネスロジック、コードの概要、一時変数の定義内容などを記述する。</w:t>
            </w:r>
          </w:p>
        </w:tc>
        <w:tc>
          <w:tcPr/>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bookmarkEnd w:id="85"/>
    <w:bookmarkEnd w:id="86"/>
    <w:bookmarkStart w:id="94" w:name="パフォーマンス"/>
    <w:p>
      <w:pPr>
        <w:pStyle w:val="1"/>
      </w:pPr>
      <w:r>
        <w:t xml:space="preserve">パフォーマンス</w:t>
      </w:r>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bookmarkStart w:id="87" w:name="stream-api-1"/>
    <w:p>
      <w:pPr>
        <w:pStyle w:val="2"/>
      </w:pPr>
      <w:r>
        <w:t xml:space="preserve">Stream API</w:t>
      </w:r>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Stream API</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t xml:space="preserve">拡張 for 文 (ms)</w:t>
            </w:r>
          </w:p>
        </w:tc>
        <w:tc>
          <w:tcPr/>
          <w:p>
            <w:pPr>
              <w:numPr>
                <w:ilvl w:val="0"/>
                <w:numId w:val="1000"/>
              </w:numPr>
              <w:pStyle w:val="Compact"/>
              <w:jc w:val="right"/>
            </w:pPr>
            <w:r>
              <w:t xml:space="preserve">StreamAPI (ms)</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7</w:t>
            </w:r>
          </w:p>
        </w:tc>
        <w:tc>
          <w:tcPr/>
          <w:p>
            <w:pPr>
              <w:numPr>
                <w:ilvl w:val="0"/>
                <w:numId w:val="1000"/>
              </w:numPr>
              <w:pStyle w:val="Compact"/>
              <w:jc w:val="right"/>
            </w:pPr>
            <w:r>
              <w:t xml:space="preserve">9</w:t>
            </w:r>
          </w:p>
        </w:tc>
      </w:tr>
      <w:tr>
        <w:tc>
          <w:tcPr/>
          <w:p>
            <w:pPr>
              <w:numPr>
                <w:ilvl w:val="0"/>
                <w:numId w:val="1000"/>
              </w:numPr>
              <w:pStyle w:val="Compact"/>
              <w:jc w:val="right"/>
            </w:pPr>
            <w:r>
              <w:t xml:space="preserve">1,000 万件</w:t>
            </w:r>
          </w:p>
        </w:tc>
        <w:tc>
          <w:tcPr/>
          <w:p>
            <w:pPr>
              <w:numPr>
                <w:ilvl w:val="0"/>
                <w:numId w:val="1000"/>
              </w:numPr>
              <w:pStyle w:val="Compact"/>
              <w:jc w:val="right"/>
            </w:pPr>
            <w:r>
              <w:t xml:space="preserve">88</w:t>
            </w:r>
          </w:p>
        </w:tc>
        <w:tc>
          <w:tcPr/>
          <w:p>
            <w:pPr>
              <w:numPr>
                <w:ilvl w:val="0"/>
                <w:numId w:val="1000"/>
              </w:numPr>
              <w:pStyle w:val="Compact"/>
              <w:jc w:val="right"/>
            </w:pPr>
            <w:r>
              <w:t xml:space="preserve">114</w:t>
            </w:r>
          </w:p>
        </w:tc>
      </w:tr>
      <w:tr>
        <w:tc>
          <w:tcPr/>
          <w:p>
            <w:pPr>
              <w:numPr>
                <w:ilvl w:val="0"/>
                <w:numId w:val="1000"/>
              </w:numPr>
              <w:pStyle w:val="Compact"/>
              <w:jc w:val="right"/>
            </w:pPr>
            <w:r>
              <w:t xml:space="preserve">1 億件</w:t>
            </w:r>
          </w:p>
        </w:tc>
        <w:tc>
          <w:tcPr/>
          <w:p>
            <w:pPr>
              <w:numPr>
                <w:ilvl w:val="0"/>
                <w:numId w:val="1000"/>
              </w:numPr>
              <w:pStyle w:val="Compact"/>
              <w:jc w:val="right"/>
            </w:pPr>
            <w:r>
              <w:t xml:space="preserve">949</w:t>
            </w:r>
          </w:p>
        </w:tc>
        <w:tc>
          <w:tcPr/>
          <w:p>
            <w:pPr>
              <w:numPr>
                <w:ilvl w:val="0"/>
                <w:numId w:val="1000"/>
              </w:numPr>
              <w:pStyle w:val="Compact"/>
              <w:jc w:val="right"/>
            </w:pPr>
            <w:r>
              <w:t xml:space="preserve">1,026</w:t>
            </w:r>
          </w:p>
        </w:tc>
      </w:tr>
      <w:tr>
        <w:tc>
          <w:tcPr/>
          <w:p>
            <w:pPr>
              <w:numPr>
                <w:ilvl w:val="0"/>
                <w:numId w:val="1000"/>
              </w:numPr>
              <w:pStyle w:val="Compact"/>
              <w:jc w:val="right"/>
            </w:pPr>
            <w:r>
              <w:t xml:space="preserve">2 億件</w:t>
            </w:r>
          </w:p>
        </w:tc>
        <w:tc>
          <w:tcPr/>
          <w:p>
            <w:pPr>
              <w:numPr>
                <w:ilvl w:val="0"/>
                <w:numId w:val="1000"/>
              </w:numPr>
              <w:pStyle w:val="Compact"/>
              <w:jc w:val="right"/>
            </w:pPr>
            <w:r>
              <w:t xml:space="preserve">1,822</w:t>
            </w:r>
          </w:p>
        </w:tc>
        <w:tc>
          <w:tcPr/>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bookmarkEnd w:id="87"/>
    <w:bookmarkStart w:id="88" w:name="ラムダ式メソッド参照コンストラクタ参照-1"/>
    <w:p>
      <w:pPr>
        <w:pStyle w:val="2"/>
      </w:pPr>
      <w:r>
        <w:t xml:space="preserve">ラムダ式・メソッド参照・コンストラクタ参照</w:t>
      </w:r>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4"/>
        </w:numPr>
      </w:pPr>
      <w:r>
        <w:t xml:space="preserve">計測結果</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c>
          <w:tcPr/>
          <w:p>
            <w:pPr>
              <w:numPr>
                <w:ilvl w:val="0"/>
                <w:numId w:val="1000"/>
              </w:numPr>
              <w:pStyle w:val="Compact"/>
              <w:jc w:val="right"/>
            </w:pPr>
            <w:r>
              <w:t xml:space="preserve">メソッド参照 (ms)</w:t>
            </w:r>
          </w:p>
        </w:tc>
      </w:tr>
      <w:tr>
        <w:tc>
          <w:tcPr/>
          <w:p>
            <w:pPr>
              <w:numPr>
                <w:ilvl w:val="0"/>
                <w:numId w:val="1000"/>
              </w:numPr>
              <w:pStyle w:val="Compact"/>
              <w:jc w:val="right"/>
            </w:pPr>
            <w:r>
              <w:t xml:space="preserve">10 億回</w:t>
            </w:r>
          </w:p>
        </w:tc>
        <w:tc>
          <w:tcPr/>
          <w:p>
            <w:pPr>
              <w:numPr>
                <w:ilvl w:val="0"/>
                <w:numId w:val="1000"/>
              </w:numPr>
              <w:pStyle w:val="Compact"/>
              <w:jc w:val="right"/>
            </w:pPr>
            <w:r>
              <w:t xml:space="preserve">380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100 億回</w:t>
            </w:r>
          </w:p>
        </w:tc>
        <w:tc>
          <w:tcPr/>
          <w:p>
            <w:pPr>
              <w:numPr>
                <w:ilvl w:val="0"/>
                <w:numId w:val="1000"/>
              </w:numPr>
              <w:pStyle w:val="Compact"/>
              <w:jc w:val="right"/>
            </w:pPr>
            <w:r>
              <w:t xml:space="preserve">6,374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14</w:t>
            </w:r>
          </w:p>
        </w:tc>
        <w:tc>
          <w:tcPr/>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65"/>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5"/>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r>
      <w:tr>
        <w:tc>
          <w:tcPr/>
          <w:p>
            <w:pPr>
              <w:numPr>
                <w:ilvl w:val="0"/>
                <w:numId w:val="1000"/>
              </w:numPr>
              <w:pStyle w:val="Compact"/>
              <w:jc w:val="right"/>
            </w:pPr>
            <w:r>
              <w:t xml:space="preserve">10 億回（パラメータあり）</w:t>
            </w:r>
          </w:p>
        </w:tc>
        <w:tc>
          <w:tcPr/>
          <w:p>
            <w:pPr>
              <w:numPr>
                <w:ilvl w:val="0"/>
                <w:numId w:val="1000"/>
              </w:numPr>
              <w:pStyle w:val="Compact"/>
              <w:jc w:val="right"/>
            </w:pPr>
            <w:r>
              <w:t xml:space="preserve">571</w:t>
            </w:r>
          </w:p>
        </w:tc>
        <w:tc>
          <w:tcPr/>
          <w:p>
            <w:pPr>
              <w:numPr>
                <w:ilvl w:val="0"/>
                <w:numId w:val="1000"/>
              </w:numPr>
              <w:pStyle w:val="Compact"/>
              <w:jc w:val="right"/>
            </w:pPr>
            <w:r>
              <w:t xml:space="preserve">572</w:t>
            </w:r>
          </w:p>
        </w:tc>
      </w:tr>
      <w:tr>
        <w:tc>
          <w:tcPr/>
          <w:p>
            <w:pPr>
              <w:numPr>
                <w:ilvl w:val="0"/>
                <w:numId w:val="1000"/>
              </w:numPr>
              <w:pStyle w:val="Compact"/>
              <w:jc w:val="right"/>
            </w:pPr>
            <w:r>
              <w:t xml:space="preserve">100 億回（パラメータあり）</w:t>
            </w:r>
          </w:p>
        </w:tc>
        <w:tc>
          <w:tcPr/>
          <w:p>
            <w:pPr>
              <w:numPr>
                <w:ilvl w:val="0"/>
                <w:numId w:val="1000"/>
              </w:numPr>
              <w:pStyle w:val="Compact"/>
              <w:jc w:val="right"/>
            </w:pPr>
            <w:r>
              <w:t xml:space="preserve">9,900</w:t>
            </w:r>
          </w:p>
        </w:tc>
        <w:tc>
          <w:tcPr/>
          <w:p>
            <w:pPr>
              <w:numPr>
                <w:ilvl w:val="0"/>
                <w:numId w:val="1000"/>
              </w:numPr>
              <w:pStyle w:val="Compact"/>
              <w:jc w:val="right"/>
            </w:pPr>
            <w:r>
              <w:t xml:space="preserve">9,864</w:t>
            </w:r>
          </w:p>
        </w:tc>
      </w:tr>
    </w:tbl>
    <w:bookmarkEnd w:id="88"/>
    <w:bookmarkStart w:id="91" w:name="文字列連結"/>
    <w:p>
      <w:pPr>
        <w:pStyle w:val="2"/>
      </w:pPr>
      <w:r>
        <w:t xml:space="preserve">文字列連結</w:t>
      </w:r>
    </w:p>
    <w:bookmarkStart w:id="89" w:name="文字列連結繰り返し"/>
    <w:p>
      <w:pPr>
        <w:pStyle w:val="3"/>
      </w:pPr>
      <w:r>
        <w:t xml:space="preserve">文字列連結（繰り返し）</w:t>
      </w:r>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String#join</w:t>
      </w:r>
    </w:p>
    <w:p>
      <w:pPr>
        <w:numPr>
          <w:ilvl w:val="0"/>
          <w:numId w:val="1000"/>
        </w:numPr>
        <w:pStyle w:val="SourceCode"/>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66"/>
        </w:numPr>
      </w:pPr>
      <w:r>
        <w:t xml:space="preserve">計測結果</w:t>
      </w:r>
    </w:p>
    <w:tbl>
      <w:tblPr>
        <w:tblStyle w:val="Table"/>
        <w:tblW w:type="pct" w:w="5000"/>
        <w:tblLook w:firstRow="1" w:lastRow="0" w:firstColumn="0" w:lastColumn="0" w:noHBand="0" w:noVBand="0" w:val="0020"/>
      </w:tblPr>
      <w:tblGrid>
        <w:gridCol w:w="1863"/>
        <w:gridCol w:w="1304"/>
        <w:gridCol w:w="1677"/>
        <w:gridCol w:w="1584"/>
        <w:gridCol w:w="149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rPr>
                <w:rStyle w:val="VerbatimChar"/>
              </w:rPr>
              <w:t xml:space="preserve">+</w:t>
            </w:r>
            <w:r>
              <w:t xml:space="preserve">演算子 (ms)</w:t>
            </w:r>
          </w:p>
        </w:tc>
        <w:tc>
          <w:tcPr/>
          <w:p>
            <w:pPr>
              <w:numPr>
                <w:ilvl w:val="0"/>
                <w:numId w:val="1000"/>
              </w:numPr>
              <w:pStyle w:val="Compact"/>
              <w:jc w:val="right"/>
            </w:pPr>
            <w:r>
              <w:t xml:space="preserve">StringBuilder (ms)</w:t>
            </w:r>
          </w:p>
        </w:tc>
        <w:tc>
          <w:tcPr/>
          <w:p>
            <w:pPr>
              <w:numPr>
                <w:ilvl w:val="0"/>
                <w:numId w:val="1000"/>
              </w:numPr>
              <w:pStyle w:val="Compact"/>
              <w:jc w:val="right"/>
            </w:pPr>
            <w:r>
              <w:t xml:space="preserve">StringBuffer (ms)</w:t>
            </w:r>
          </w:p>
        </w:tc>
        <w:tc>
          <w:tcPr/>
          <w:p>
            <w:pPr>
              <w:numPr>
                <w:ilvl w:val="0"/>
                <w:numId w:val="1000"/>
              </w:numPr>
              <w:pStyle w:val="Compact"/>
              <w:jc w:val="right"/>
            </w:pPr>
            <w:r>
              <w:t xml:space="preserve">String#join (ms)</w:t>
            </w:r>
          </w:p>
        </w:tc>
      </w:tr>
      <w:tr>
        <w:tc>
          <w:tcPr/>
          <w:p>
            <w:pPr>
              <w:numPr>
                <w:ilvl w:val="0"/>
                <w:numId w:val="1000"/>
              </w:numPr>
              <w:pStyle w:val="Compact"/>
              <w:jc w:val="right"/>
            </w:pPr>
            <w:r>
              <w:t xml:space="preserve">1,000 件</w:t>
            </w:r>
          </w:p>
        </w:tc>
        <w:tc>
          <w:tcPr/>
          <w:p>
            <w:pPr>
              <w:numPr>
                <w:ilvl w:val="0"/>
                <w:numId w:val="1000"/>
              </w:numPr>
              <w:pStyle w:val="Compact"/>
              <w:jc w:val="right"/>
            </w:pPr>
            <w:r>
              <w:t xml:space="preserve">5</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万件</w:t>
            </w:r>
          </w:p>
        </w:tc>
        <w:tc>
          <w:tcPr/>
          <w:p>
            <w:pPr>
              <w:numPr>
                <w:ilvl w:val="0"/>
                <w:numId w:val="1000"/>
              </w:numPr>
              <w:pStyle w:val="Compact"/>
              <w:jc w:val="right"/>
            </w:pPr>
            <w:r>
              <w:t xml:space="preserve">1,016</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r>
      <w:tr>
        <w:tc>
          <w:tcPr/>
          <w:p>
            <w:pPr>
              <w:numPr>
                <w:ilvl w:val="0"/>
                <w:numId w:val="1000"/>
              </w:numPr>
              <w:pStyle w:val="Compact"/>
              <w:jc w:val="right"/>
            </w:pPr>
            <w:r>
              <w:t xml:space="preserve">10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w:t>
            </w:r>
          </w:p>
        </w:tc>
        <w:tc>
          <w:tcPr/>
          <w:p>
            <w:pPr>
              <w:numPr>
                <w:ilvl w:val="0"/>
                <w:numId w:val="1000"/>
              </w:numPr>
              <w:pStyle w:val="Compact"/>
              <w:jc w:val="right"/>
            </w:pPr>
            <w:r>
              <w:t xml:space="preserve">5</w:t>
            </w:r>
          </w:p>
        </w:tc>
        <w:tc>
          <w:tcPr/>
          <w:p>
            <w:pPr>
              <w:numPr>
                <w:ilvl w:val="0"/>
                <w:numId w:val="1000"/>
              </w:numPr>
              <w:pStyle w:val="Compact"/>
              <w:jc w:val="right"/>
            </w:pPr>
            <w:r>
              <w:t xml:space="preserve">5</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29</w:t>
            </w:r>
          </w:p>
        </w:tc>
        <w:tc>
          <w:tcPr/>
          <w:p>
            <w:pPr>
              <w:numPr>
                <w:ilvl w:val="0"/>
                <w:numId w:val="1000"/>
              </w:numPr>
              <w:pStyle w:val="Compact"/>
              <w:jc w:val="right"/>
            </w:pPr>
            <w:r>
              <w:t xml:space="preserve">42</w:t>
            </w:r>
          </w:p>
        </w:tc>
        <w:tc>
          <w:tcPr/>
          <w:p>
            <w:pPr>
              <w:numPr>
                <w:ilvl w:val="0"/>
                <w:numId w:val="1000"/>
              </w:numPr>
              <w:pStyle w:val="Compact"/>
              <w:jc w:val="right"/>
            </w:pPr>
            <w:r>
              <w:t xml:space="preserve">51</w:t>
            </w:r>
          </w:p>
        </w:tc>
      </w:tr>
    </w:tbl>
    <w:bookmarkEnd w:id="89"/>
    <w:bookmarkStart w:id="90" w:name="文字列連結定数"/>
    <w:p>
      <w:pPr>
        <w:pStyle w:val="3"/>
      </w:pPr>
      <w:r>
        <w:t xml:space="preserve">文字列連結（定数）</w:t>
      </w:r>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StringBuilder (ms)</w:t>
            </w:r>
          </w:p>
        </w:tc>
        <w:tc>
          <w:tcPr/>
          <w:p>
            <w:pPr>
              <w:numPr>
                <w:ilvl w:val="0"/>
                <w:numId w:val="1000"/>
              </w:numPr>
              <w:pStyle w:val="Compact"/>
              <w:jc w:val="right"/>
            </w:pPr>
            <w:r>
              <w:rPr>
                <w:rStyle w:val="VerbatimChar"/>
              </w:rPr>
              <w:t xml:space="preserve">+</w:t>
            </w:r>
            <w:r>
              <w:t xml:space="preserve">演算子 (ms)</w:t>
            </w:r>
          </w:p>
        </w:tc>
      </w:tr>
      <w:tr>
        <w:tc>
          <w:tcPr/>
          <w:p>
            <w:pPr>
              <w:numPr>
                <w:ilvl w:val="0"/>
                <w:numId w:val="1000"/>
              </w:numPr>
              <w:pStyle w:val="Compact"/>
              <w:jc w:val="right"/>
            </w:pPr>
            <w:r>
              <w:t xml:space="preserve">5,000 万回</w:t>
            </w:r>
          </w:p>
        </w:tc>
        <w:tc>
          <w:tcPr/>
          <w:p>
            <w:pPr>
              <w:numPr>
                <w:ilvl w:val="0"/>
                <w:numId w:val="1000"/>
              </w:numPr>
              <w:pStyle w:val="Compact"/>
              <w:jc w:val="right"/>
            </w:pPr>
            <w:r>
              <w:t xml:space="preserve">559</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億回</w:t>
            </w:r>
          </w:p>
        </w:tc>
        <w:tc>
          <w:tcPr/>
          <w:p>
            <w:pPr>
              <w:numPr>
                <w:ilvl w:val="0"/>
                <w:numId w:val="1000"/>
              </w:numPr>
              <w:pStyle w:val="Compact"/>
              <w:jc w:val="right"/>
            </w:pPr>
            <w:r>
              <w:t xml:space="preserve">1,059</w:t>
            </w:r>
          </w:p>
        </w:tc>
        <w:tc>
          <w:tcPr/>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bookmarkEnd w:id="90"/>
    <w:bookmarkEnd w:id="91"/>
    <w:bookmarkStart w:id="92" w:name="list-の種類"/>
    <w:p>
      <w:pPr>
        <w:pStyle w:val="2"/>
      </w:pPr>
      <w:r>
        <w:t xml:space="preserve">List 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拡張 for 文</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69"/>
        </w:numPr>
      </w:pPr>
      <w:r>
        <w:t xml:space="preserve">計測結果</w:t>
      </w:r>
    </w:p>
    <w:tbl>
      <w:tblPr>
        <w:tblStyle w:val="Table"/>
        <w:tblW w:type="pct" w:w="5000"/>
        <w:tblLook w:firstRow="1" w:lastRow="0" w:firstColumn="0" w:lastColumn="0" w:noHBand="0" w:noVBand="0" w:val="0020"/>
      </w:tblPr>
      <w:tblGrid>
        <w:gridCol w:w="646"/>
        <w:gridCol w:w="1713"/>
        <w:gridCol w:w="1745"/>
        <w:gridCol w:w="1002"/>
        <w:gridCol w:w="1034"/>
        <w:gridCol w:w="872"/>
        <w:gridCol w:w="905"/>
      </w:tblGrid>
      <w:tr>
        <w:trPr>
          <w:tblHeader w:val="true"/>
        </w:trPr>
        <w:tc>
          <w:tcPr/>
          <w:p>
            <w:pPr>
              <w:numPr>
                <w:ilvl w:val="0"/>
                <w:numId w:val="1000"/>
              </w:numPr>
              <w:pStyle w:val="Compact"/>
              <w:jc w:val="left"/>
            </w:pPr>
            <w:r>
              <w:t xml:space="preserve">処理する List の件数</w:t>
            </w:r>
          </w:p>
        </w:tc>
        <w:tc>
          <w:tcPr/>
          <w:p>
            <w:pPr>
              <w:numPr>
                <w:ilvl w:val="0"/>
                <w:numId w:val="1000"/>
              </w:numPr>
              <w:pStyle w:val="Compact"/>
              <w:jc w:val="right"/>
            </w:pPr>
            <w:r>
              <w:rPr>
                <w:rStyle w:val="VerbatimChar"/>
              </w:rPr>
              <w:t xml:space="preserve">ArrayList</w:t>
            </w:r>
            <w:r>
              <w:t xml:space="preserve">for 文(List#get(int)によるループ) (ms)</w:t>
            </w:r>
          </w:p>
        </w:tc>
        <w:tc>
          <w:tcPr/>
          <w:p>
            <w:pPr>
              <w:numPr>
                <w:ilvl w:val="0"/>
                <w:numId w:val="1000"/>
              </w:numPr>
              <w:pStyle w:val="Compact"/>
              <w:jc w:val="right"/>
            </w:pPr>
            <w:r>
              <w:rPr>
                <w:rStyle w:val="VerbatimChar"/>
              </w:rPr>
              <w:t xml:space="preserve">LinkedList</w:t>
            </w:r>
            <w:r>
              <w:t xml:space="preserve">for 文(List#get(int)によるループ) (ms)</w:t>
            </w:r>
          </w:p>
        </w:tc>
        <w:tc>
          <w:tcPr/>
          <w:p>
            <w:pPr>
              <w:numPr>
                <w:ilvl w:val="0"/>
                <w:numId w:val="1000"/>
              </w:numPr>
              <w:pStyle w:val="Compact"/>
              <w:jc w:val="right"/>
            </w:pPr>
            <w:r>
              <w:rPr>
                <w:rStyle w:val="VerbatimChar"/>
              </w:rPr>
              <w:t xml:space="preserve">ArrayList</w:t>
            </w:r>
            <w:r>
              <w:t xml:space="preserve">拡張 for 文 (ms)</w:t>
            </w:r>
          </w:p>
        </w:tc>
        <w:tc>
          <w:tcPr/>
          <w:p>
            <w:pPr>
              <w:numPr>
                <w:ilvl w:val="0"/>
                <w:numId w:val="1000"/>
              </w:numPr>
              <w:pStyle w:val="Compact"/>
              <w:jc w:val="right"/>
            </w:pPr>
            <w:r>
              <w:rPr>
                <w:rStyle w:val="VerbatimChar"/>
              </w:rPr>
              <w:t xml:space="preserve">LinkedList</w:t>
            </w:r>
            <w:r>
              <w:t xml:space="preserve">拡張 for 文 (ms)</w:t>
            </w:r>
          </w:p>
        </w:tc>
        <w:tc>
          <w:tcPr/>
          <w:p>
            <w:pPr>
              <w:numPr>
                <w:ilvl w:val="0"/>
                <w:numId w:val="1000"/>
              </w:numPr>
              <w:pStyle w:val="Compact"/>
              <w:jc w:val="right"/>
            </w:pPr>
            <w:r>
              <w:rPr>
                <w:rStyle w:val="VerbatimChar"/>
              </w:rPr>
              <w:t xml:space="preserve">ArrayList</w:t>
            </w:r>
            <w:r>
              <w:t xml:space="preserve">forEach (ms)</w:t>
            </w:r>
          </w:p>
        </w:tc>
        <w:tc>
          <w:tcPr/>
          <w:p>
            <w:pPr>
              <w:numPr>
                <w:ilvl w:val="0"/>
                <w:numId w:val="1000"/>
              </w:numPr>
              <w:pStyle w:val="Compact"/>
              <w:jc w:val="right"/>
            </w:pPr>
            <w:r>
              <w:rPr>
                <w:rStyle w:val="VerbatimChar"/>
              </w:rPr>
              <w:t xml:space="preserve">LinkedList</w:t>
            </w:r>
            <w:r>
              <w:t xml:space="preserve">forEach (ms)</w:t>
            </w:r>
          </w:p>
        </w:tc>
      </w:tr>
      <w:tr>
        <w:tc>
          <w:tcPr/>
          <w:p>
            <w:pPr>
              <w:numPr>
                <w:ilvl w:val="0"/>
                <w:numId w:val="1000"/>
              </w:numPr>
              <w:pStyle w:val="Compact"/>
              <w:jc w:val="left"/>
            </w:pPr>
            <w:r>
              <w:t xml:space="preserve">1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73</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10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7,576</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w:t>
            </w:r>
          </w:p>
        </w:tc>
        <w:tc>
          <w:tcPr/>
          <w:p>
            <w:pPr>
              <w:numPr>
                <w:ilvl w:val="0"/>
                <w:numId w:val="1000"/>
              </w:numPr>
              <w:pStyle w:val="Compact"/>
              <w:jc w:val="right"/>
            </w:pPr>
            <w:r>
              <w:t xml:space="preserve">2</w:t>
            </w:r>
          </w:p>
        </w:tc>
      </w:tr>
      <w:tr>
        <w:tc>
          <w:tcPr/>
          <w:p>
            <w:pPr>
              <w:numPr>
                <w:ilvl w:val="0"/>
                <w:numId w:val="1000"/>
              </w:numPr>
              <w:pStyle w:val="Compact"/>
              <w:jc w:val="left"/>
            </w:pPr>
            <w:r>
              <w:t xml:space="preserve">20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17,740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50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r>
      <w:tr>
        <w:tc>
          <w:tcPr/>
          <w:p>
            <w:pPr>
              <w:numPr>
                <w:ilvl w:val="0"/>
                <w:numId w:val="1000"/>
              </w:numPr>
              <w:pStyle w:val="Compact"/>
              <w:jc w:val="left"/>
            </w:pPr>
            <w:r>
              <w:t xml:space="preserve">100 万件</w:t>
            </w:r>
          </w:p>
        </w:tc>
        <w:tc>
          <w:tcPr/>
          <w:p>
            <w:pPr>
              <w:numPr>
                <w:ilvl w:val="0"/>
                <w:numId w:val="1000"/>
              </w:numPr>
              <w:pStyle w:val="Compact"/>
              <w:jc w:val="right"/>
            </w:pPr>
            <w:r>
              <w:t xml:space="preserve">1</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r>
      <w:tr>
        <w:tc>
          <w:tcPr/>
          <w:p>
            <w:pPr>
              <w:numPr>
                <w:ilvl w:val="0"/>
                <w:numId w:val="1000"/>
              </w:numPr>
              <w:pStyle w:val="Compact"/>
              <w:jc w:val="left"/>
            </w:pPr>
            <w:r>
              <w:t xml:space="preserve">1,000 万件</w:t>
            </w:r>
          </w:p>
        </w:tc>
        <w:tc>
          <w:tcPr/>
          <w:p>
            <w:pPr>
              <w:numPr>
                <w:ilvl w:val="0"/>
                <w:numId w:val="1000"/>
              </w:numPr>
              <w:pStyle w:val="Compact"/>
              <w:jc w:val="right"/>
            </w:pPr>
            <w:r>
              <w:t xml:space="preserve">16</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8</w:t>
            </w:r>
          </w:p>
        </w:tc>
        <w:tc>
          <w:tcPr/>
          <w:p>
            <w:pPr>
              <w:numPr>
                <w:ilvl w:val="0"/>
                <w:numId w:val="1000"/>
              </w:numPr>
              <w:pStyle w:val="Compact"/>
              <w:jc w:val="right"/>
            </w:pPr>
            <w:r>
              <w:t xml:space="preserve">45</w:t>
            </w:r>
          </w:p>
        </w:tc>
        <w:tc>
          <w:tcPr/>
          <w:p>
            <w:pPr>
              <w:numPr>
                <w:ilvl w:val="0"/>
                <w:numId w:val="1000"/>
              </w:numPr>
              <w:pStyle w:val="Compact"/>
              <w:jc w:val="right"/>
            </w:pPr>
            <w:r>
              <w:t xml:space="preserve">6</w:t>
            </w:r>
          </w:p>
        </w:tc>
        <w:tc>
          <w:tcPr/>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bookmarkEnd w:id="92"/>
    <w:bookmarkStart w:id="93" w:name="bigdecimal-の-zero-との比較"/>
    <w:p>
      <w:pPr>
        <w:pStyle w:val="2"/>
      </w:pPr>
      <w:r>
        <w:t xml:space="preserve">BigDecimal の ZERO との比較</w:t>
      </w:r>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計測結果</w:t>
      </w:r>
    </w:p>
    <w:p>
      <w:pPr>
        <w:numPr>
          <w:ilvl w:val="0"/>
          <w:numId w:val="1000"/>
        </w:numPr>
      </w:pPr>
      <w:r>
        <w:t xml:space="preserve">（単位：マイクロ秒）</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compareTo 利用 (マイクロ秒)</w:t>
            </w:r>
          </w:p>
        </w:tc>
        <w:tc>
          <w:tcPr/>
          <w:p>
            <w:pPr>
              <w:numPr>
                <w:ilvl w:val="0"/>
                <w:numId w:val="1000"/>
              </w:numPr>
              <w:pStyle w:val="Compact"/>
              <w:jc w:val="right"/>
            </w:pPr>
            <w:r>
              <w:t xml:space="preserve">signum 利用 (マイクロ秒)</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527</w:t>
            </w:r>
            <w:r>
              <w:t xml:space="preserve">max:26,367</w:t>
            </w:r>
            <w:r>
              <w:t xml:space="preserve">min:0</w:t>
            </w:r>
          </w:p>
        </w:tc>
        <w:tc>
          <w:tcPr/>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bookmarkEnd w:id="93"/>
    <w:bookmarkEnd w:id="94"/>
    <w:bookmarkStart w:id="99" w:name="license"/>
    <w:p>
      <w:pPr>
        <w:pStyle w:val="1"/>
      </w:pPr>
      <w:r>
        <w:t xml:space="preserve">License</w:t>
      </w:r>
    </w:p>
    <w:p>
      <w:pPr>
        <w:pStyle w:val="FirstParagraph"/>
      </w:pPr>
      <w:hyperlink r:id="rId98">
        <w:r>
          <w:drawing>
            <wp:inline>
              <wp:extent cx="1117600" cy="393700"/>
              <wp:effectExtent b="0" l="0" r="0" t="0"/>
              <wp:docPr descr="CC-By-4.0" title="" id="96" name="Picture"/>
              <a:graphic>
                <a:graphicData uri="http://schemas.openxmlformats.org/drawingml/2006/picture">
                  <pic:pic>
                    <pic:nvPicPr>
                      <pic:cNvPr descr="https://licensebuttons.net/l/by/4.0/88x31.png" id="97" name="Picture"/>
                      <pic:cNvPicPr>
                        <a:picLocks noChangeArrowheads="1" noChangeAspect="1"/>
                      </pic:cNvPicPr>
                    </pic:nvPicPr>
                    <pic:blipFill>
                      <a:blip r:embed="rId95"/>
                      <a:stretch>
                        <a:fillRect/>
                      </a:stretch>
                    </pic:blipFill>
                    <pic:spPr bwMode="auto">
                      <a:xfrm>
                        <a:off x="0" y="0"/>
                        <a:ext cx="1117600" cy="393700"/>
                      </a:xfrm>
                      <a:prstGeom prst="rect">
                        <a:avLst/>
                      </a:prstGeom>
                      <a:noFill/>
                      <a:ln w="9525">
                        <a:noFill/>
                        <a:headEnd/>
                        <a:tailEnd/>
                      </a:ln>
                    </pic:spPr>
                  </pic:pic>
                </a:graphicData>
              </a:graphic>
            </wp:inline>
          </w:drawing>
        </w:r>
      </w:hyperlink>
    </w:p>
    <w:bookmarkEnd w:id="99"/>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95" Target="media/rId95.png" /><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2025-01-20T04:32:17Z</dcterms:created>
  <dcterms:modified xsi:type="dcterms:W3CDTF">2025-01-20T04:32:17Z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