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28"/>
        </w:numPr>
        <w:pStyle w:val="Compact"/>
      </w:pPr>
      <w:hyperlink w:anchor="差分更新-API-の場合">
        <w:r>
          <w:rPr>
            <w:rStyle w:val="ad"/>
          </w:rPr>
          <w:t xml:space="preserve">差分更新APIの場合</w:t>
        </w:r>
      </w:hyperlink>
      <w:r>
        <w:t xml:space="preserve">にあるとおり、空更新を行う場合は空文字を利用する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9"/>
        </w:numPr>
        <w:pStyle w:val="Compact"/>
      </w:pPr>
      <w:r>
        <w:t xml:space="preserve">名称はアッパーキャメルケースで定義する</w:t>
      </w:r>
    </w:p>
    <w:p>
      <w:pPr>
        <w:numPr>
          <w:ilvl w:val="0"/>
          <w:numId w:val="1029"/>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30"/>
        </w:numPr>
        <w:pStyle w:val="Compact"/>
      </w:pPr>
      <w:r>
        <w:t xml:space="preserve">API 全体で利用されるパスパラメータが必要なケースが想定されないため、原則定義しない</w:t>
      </w:r>
    </w:p>
    <w:p>
      <w:pPr>
        <w:numPr>
          <w:ilvl w:val="1"/>
          <w:numId w:val="1031"/>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2"/>
        </w:numPr>
        <w:pStyle w:val="Compact"/>
      </w:pPr>
      <w:r>
        <w:t xml:space="preserve">API 全体で利用可能な共通のクエリパラメータ（例: 検索数の limit, offset）を定義する</w:t>
      </w:r>
    </w:p>
    <w:p>
      <w:pPr>
        <w:numPr>
          <w:ilvl w:val="0"/>
          <w:numId w:val="1032"/>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3"/>
        </w:numPr>
        <w:pStyle w:val="Compact"/>
      </w:pPr>
      <w:r>
        <w:t xml:space="preserve">API 全体で利用可能な共通のリクエストヘッダを定義する</w:t>
      </w:r>
    </w:p>
    <w:p>
      <w:pPr>
        <w:numPr>
          <w:ilvl w:val="0"/>
          <w:numId w:val="1033"/>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4"/>
        </w:numPr>
        <w:pStyle w:val="Compact"/>
      </w:pPr>
      <w:r>
        <w:t xml:space="preserve">API 全体で利用可能な共通の Cookie（例: CSRF 用のトークン）を定義する</w:t>
      </w:r>
    </w:p>
    <w:p>
      <w:pPr>
        <w:numPr>
          <w:ilvl w:val="0"/>
          <w:numId w:val="1034"/>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4"/>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5"/>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6"/>
        </w:numPr>
        <w:pStyle w:val="Compact"/>
      </w:pPr>
      <w:r>
        <w:t xml:space="preserve">業務システムでは、業務フローを抑えておけば、API 操作フローの理解はそこまで難しくないことが多い</w:t>
      </w:r>
    </w:p>
    <w:p>
      <w:pPr>
        <w:numPr>
          <w:ilvl w:val="1"/>
          <w:numId w:val="1037"/>
        </w:numPr>
        <w:pStyle w:val="Compact"/>
      </w:pPr>
      <w:r>
        <w:t xml:space="preserve">逆に、API 同士の関係だけを示すだけでは業務モデリング図とのダブルメンテナンスになったり、中途半端になりうる</w:t>
      </w:r>
    </w:p>
    <w:p>
      <w:pPr>
        <w:numPr>
          <w:ilvl w:val="0"/>
          <w:numId w:val="1036"/>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8"/>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9"/>
        </w:numPr>
        <w:pStyle w:val="Compact"/>
      </w:pPr>
      <w:r>
        <w:t xml:space="preserve">コールバック URL 呼び出しの、エラーハンドリングが難しい</w:t>
      </w:r>
    </w:p>
    <w:p>
      <w:pPr>
        <w:numPr>
          <w:ilvl w:val="0"/>
          <w:numId w:val="1039"/>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40"/>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40"/>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40"/>
        </w:numPr>
        <w:pStyle w:val="Compact"/>
      </w:pPr>
      <w:r>
        <w:rPr>
          <w:bCs/>
          <w:b/>
        </w:rPr>
        <w:t xml:space="preserve">単数形</w:t>
      </w:r>
      <w:r>
        <w:t xml:space="preserve"> </w:t>
      </w:r>
      <w:r>
        <w:t xml:space="preserve">で、小文字かつ半角スペース区切りで記載する</w:t>
      </w:r>
    </w:p>
    <w:p>
      <w:pPr>
        <w:numPr>
          <w:ilvl w:val="1"/>
          <w:numId w:val="1041"/>
        </w:numPr>
        <w:pStyle w:val="Compact"/>
      </w:pPr>
      <w:r>
        <w:t xml:space="preserve">半角スペース区切りで記載する理由は HTML ドキュメントで参照する場合の可読性を上げるため</w:t>
      </w:r>
    </w:p>
    <w:p>
      <w:pPr>
        <w:numPr>
          <w:ilvl w:val="0"/>
          <w:numId w:val="1040"/>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5"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2"/>
        </w:numPr>
        <w:pStyle w:val="Compact"/>
      </w:pPr>
      <w:r>
        <w:t xml:space="preserve">サーバ側</w:t>
      </w:r>
    </w:p>
    <w:p>
      <w:pPr>
        <w:numPr>
          <w:ilvl w:val="1"/>
          <w:numId w:val="1043"/>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2"/>
        </w:numPr>
        <w:pStyle w:val="Compact"/>
      </w:pPr>
      <w:r>
        <w:t xml:space="preserve">クライアント側</w:t>
      </w:r>
    </w:p>
    <w:p>
      <w:pPr>
        <w:numPr>
          <w:ilvl w:val="1"/>
          <w:numId w:val="1044"/>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2"/>
        </w:numPr>
        <w:pStyle w:val="Compact"/>
      </w:pPr>
      <w:r>
        <w:t xml:space="preserve">使用面として</w:t>
      </w:r>
    </w:p>
    <w:p>
      <w:pPr>
        <w:numPr>
          <w:ilvl w:val="1"/>
          <w:numId w:val="1045"/>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5"/>
    <w:bookmarkStart w:id="87" w:name="opentelemetry-traceparent-http-header"/>
    <w:p>
      <w:pPr>
        <w:pStyle w:val="1"/>
      </w:pPr>
      <w:r>
        <w:t xml:space="preserve">OpenTelemetry Traceparent HTTP Header</w:t>
      </w:r>
    </w:p>
    <w:p>
      <w:pPr>
        <w:pStyle w:val="FirstParagraph"/>
      </w:pPr>
      <w:r>
        <w:t xml:space="preserve">OpenOpenTelemetry で用いるられる</w:t>
      </w:r>
      <w:hyperlink r:id="rId86">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6"/>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6"/>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7"/>
    <w:bookmarkStart w:id="89" w:name="値が存在しないという状態の表現"/>
    <w:p>
      <w:pPr>
        <w:pStyle w:val="1"/>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a0"/>
      </w:pPr>
      <w:r>
        <w:t xml:space="preserve">詳細は</w:t>
      </w:r>
      <w:hyperlink r:id="rId88">
        <w:r>
          <w:rPr>
            <w:rStyle w:val="ad"/>
          </w:rPr>
          <w:t xml:space="preserve">フューチャー技術ブログ記事</w:t>
        </w:r>
      </w:hyperlink>
      <w:r>
        <w:t xml:space="preserve">を参照されたい</w:t>
      </w:r>
    </w:p>
    <w:bookmarkEnd w:id="89"/>
    <w:bookmarkStart w:id="98"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90"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90"/>
    <w:bookmarkStart w:id="91"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91"/>
    <w:bookmarkStart w:id="93"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7"/>
        </w:numPr>
        <w:pStyle w:val="Compact"/>
      </w:pPr>
      <w:r>
        <w:rPr>
          <w:rStyle w:val="VerbatimChar"/>
        </w:rPr>
        <w:t xml:space="preserve">integer</w:t>
      </w:r>
      <w:r>
        <w:t xml:space="preserve">（整数）</w:t>
      </w:r>
    </w:p>
    <w:p>
      <w:pPr>
        <w:numPr>
          <w:ilvl w:val="1"/>
          <w:numId w:val="1048"/>
        </w:numPr>
        <w:pStyle w:val="Compact"/>
      </w:pPr>
      <w:r>
        <w:rPr>
          <w:rStyle w:val="VerbatimChar"/>
        </w:rPr>
        <w:t xml:space="preserve">int32</w:t>
      </w:r>
      <w:r>
        <w:t xml:space="preserve">,</w:t>
      </w:r>
      <w:r>
        <w:t xml:space="preserve"> </w:t>
      </w:r>
      <w:r>
        <w:rPr>
          <w:rStyle w:val="VerbatimChar"/>
        </w:rPr>
        <w:t xml:space="preserve">int64</w:t>
      </w:r>
    </w:p>
    <w:p>
      <w:pPr>
        <w:numPr>
          <w:ilvl w:val="0"/>
          <w:numId w:val="1047"/>
        </w:numPr>
        <w:pStyle w:val="Compact"/>
      </w:pPr>
      <w:r>
        <w:rPr>
          <w:rStyle w:val="VerbatimChar"/>
        </w:rPr>
        <w:t xml:space="preserve">number</w:t>
      </w:r>
      <w:r>
        <w:t xml:space="preserve">（数値）</w:t>
      </w:r>
    </w:p>
    <w:p>
      <w:pPr>
        <w:numPr>
          <w:ilvl w:val="1"/>
          <w:numId w:val="1049"/>
        </w:numPr>
        <w:pStyle w:val="Compact"/>
      </w:pPr>
      <w:r>
        <w:rPr>
          <w:rStyle w:val="VerbatimChar"/>
        </w:rPr>
        <w:t xml:space="preserve">float</w:t>
      </w:r>
      <w:r>
        <w:t xml:space="preserve">,</w:t>
      </w:r>
      <w:r>
        <w:t xml:space="preserve"> </w:t>
      </w:r>
      <w:r>
        <w:rPr>
          <w:rStyle w:val="VerbatimChar"/>
        </w:rPr>
        <w:t xml:space="preserve">double</w:t>
      </w:r>
    </w:p>
    <w:p>
      <w:pPr>
        <w:numPr>
          <w:ilvl w:val="0"/>
          <w:numId w:val="1047"/>
        </w:numPr>
        <w:pStyle w:val="Compact"/>
      </w:pPr>
      <w:r>
        <w:rPr>
          <w:rStyle w:val="VerbatimChar"/>
        </w:rPr>
        <w:t xml:space="preserve">string</w:t>
      </w:r>
      <w:r>
        <w:t xml:space="preserve">（バイナリ）</w:t>
      </w:r>
    </w:p>
    <w:p>
      <w:pPr>
        <w:numPr>
          <w:ilvl w:val="1"/>
          <w:numId w:val="1050"/>
        </w:numPr>
        <w:pStyle w:val="Compact"/>
      </w:pPr>
      <w:r>
        <w:rPr>
          <w:rStyle w:val="VerbatimChar"/>
        </w:rPr>
        <w:t xml:space="preserve">byte</w:t>
      </w:r>
      <w:r>
        <w:t xml:space="preserve">: Base64 でエンコードされた文字列</w:t>
      </w:r>
    </w:p>
    <w:p>
      <w:pPr>
        <w:numPr>
          <w:ilvl w:val="1"/>
          <w:numId w:val="1050"/>
        </w:numPr>
        <w:pStyle w:val="Compact"/>
      </w:pPr>
      <w:r>
        <w:rPr>
          <w:rStyle w:val="VerbatimChar"/>
        </w:rPr>
        <w:t xml:space="preserve">binary</w:t>
      </w:r>
      <w:r>
        <w:t xml:space="preserve">: バイト配列</w:t>
      </w:r>
    </w:p>
    <w:p>
      <w:pPr>
        <w:numPr>
          <w:ilvl w:val="0"/>
          <w:numId w:val="1047"/>
        </w:numPr>
        <w:pStyle w:val="Compact"/>
      </w:pPr>
      <w:r>
        <w:rPr>
          <w:rStyle w:val="VerbatimChar"/>
        </w:rPr>
        <w:t xml:space="preserve">string</w:t>
      </w:r>
      <w:r>
        <w:t xml:space="preserve">（日付）</w:t>
      </w:r>
    </w:p>
    <w:p>
      <w:pPr>
        <w:numPr>
          <w:ilvl w:val="1"/>
          <w:numId w:val="1051"/>
        </w:numPr>
        <w:pStyle w:val="Compact"/>
      </w:pPr>
      <w:r>
        <w:rPr>
          <w:rStyle w:val="VerbatimChar"/>
        </w:rPr>
        <w:t xml:space="preserve">date</w:t>
      </w:r>
      <w:r>
        <w:t xml:space="preserve">:</w:t>
      </w:r>
      <w:r>
        <w:t xml:space="preserve"> </w:t>
      </w:r>
      <w:hyperlink r:id="rId92">
        <w:r>
          <w:rPr>
            <w:rStyle w:val="ad"/>
          </w:rPr>
          <w:t xml:space="preserve">RFC3339</w:t>
        </w:r>
      </w:hyperlink>
      <w:r>
        <w:t xml:space="preserve"> </w:t>
      </w:r>
      <w:r>
        <w:t xml:space="preserve">full-date(例: 2023-07-21)</w:t>
      </w:r>
    </w:p>
    <w:p>
      <w:pPr>
        <w:numPr>
          <w:ilvl w:val="2"/>
          <w:numId w:val="1052"/>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1"/>
        </w:numPr>
        <w:pStyle w:val="Compact"/>
      </w:pPr>
      <w:r>
        <w:rPr>
          <w:rStyle w:val="VerbatimChar"/>
        </w:rPr>
        <w:t xml:space="preserve">date-time</w:t>
      </w:r>
      <w:r>
        <w:t xml:space="preserve">:</w:t>
      </w:r>
      <w:r>
        <w:t xml:space="preserve"> </w:t>
      </w:r>
      <w:hyperlink r:id="rId92">
        <w:r>
          <w:rPr>
            <w:rStyle w:val="ad"/>
          </w:rPr>
          <w:t xml:space="preserve">RFC3339</w:t>
        </w:r>
      </w:hyperlink>
      <w:r>
        <w:t xml:space="preserve"> </w:t>
      </w:r>
      <w:r>
        <w:t xml:space="preserve">date-time(例: 2023-07-21T17:32:28Z)</w:t>
      </w:r>
    </w:p>
    <w:p>
      <w:pPr>
        <w:numPr>
          <w:ilvl w:val="2"/>
          <w:numId w:val="1053"/>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7"/>
        </w:numPr>
        <w:pStyle w:val="Compact"/>
      </w:pPr>
      <w:r>
        <w:rPr>
          <w:rStyle w:val="VerbatimChar"/>
        </w:rPr>
        <w:t xml:space="preserve">string</w:t>
      </w:r>
      <w:r>
        <w:t xml:space="preserve">（その他）</w:t>
      </w:r>
    </w:p>
    <w:p>
      <w:pPr>
        <w:numPr>
          <w:ilvl w:val="1"/>
          <w:numId w:val="1054"/>
        </w:numPr>
        <w:pStyle w:val="Compact"/>
      </w:pPr>
      <w:r>
        <w:rPr>
          <w:rStyle w:val="VerbatimChar"/>
        </w:rPr>
        <w:t xml:space="preserve">password</w:t>
      </w:r>
      <w:r>
        <w:t xml:space="preserve">: Swagger UI で入力が隠される</w:t>
      </w:r>
    </w:p>
    <w:p>
      <w:pPr>
        <w:numPr>
          <w:ilvl w:val="1"/>
          <w:numId w:val="1054"/>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3"/>
    <w:bookmarkStart w:id="94"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5"/>
        </w:numPr>
        <w:pStyle w:val="Compact"/>
      </w:pPr>
      <w:r>
        <w:t xml:space="preserve">文字列</w:t>
      </w:r>
    </w:p>
    <w:p>
      <w:pPr>
        <w:numPr>
          <w:ilvl w:val="1"/>
          <w:numId w:val="1056"/>
        </w:numPr>
        <w:pStyle w:val="Compact"/>
      </w:pPr>
      <w:r>
        <w:t xml:space="preserve">最大桁数：</w:t>
      </w:r>
      <w:r>
        <w:rPr>
          <w:rStyle w:val="VerbatimChar"/>
        </w:rPr>
        <w:t xml:space="preserve">maxLength</w:t>
      </w:r>
    </w:p>
    <w:p>
      <w:pPr>
        <w:numPr>
          <w:ilvl w:val="1"/>
          <w:numId w:val="1056"/>
        </w:numPr>
        <w:pStyle w:val="Compact"/>
      </w:pPr>
      <w:r>
        <w:t xml:space="preserve">最小桁数：</w:t>
      </w:r>
      <w:r>
        <w:rPr>
          <w:rStyle w:val="VerbatimChar"/>
        </w:rPr>
        <w:t xml:space="preserve">minLength</w:t>
      </w:r>
    </w:p>
    <w:p>
      <w:pPr>
        <w:numPr>
          <w:ilvl w:val="0"/>
          <w:numId w:val="1055"/>
        </w:numPr>
        <w:pStyle w:val="Compact"/>
      </w:pPr>
      <w:r>
        <w:t xml:space="preserve">数値または整数値</w:t>
      </w:r>
    </w:p>
    <w:p>
      <w:pPr>
        <w:numPr>
          <w:ilvl w:val="1"/>
          <w:numId w:val="1057"/>
        </w:numPr>
        <w:pStyle w:val="Compact"/>
      </w:pPr>
      <w:r>
        <w:t xml:space="preserve">最小値（境界値を含む）：</w:t>
      </w:r>
      <w:r>
        <w:rPr>
          <w:rStyle w:val="VerbatimChar"/>
        </w:rPr>
        <w:t xml:space="preserve">minimum</w:t>
      </w:r>
    </w:p>
    <w:p>
      <w:pPr>
        <w:numPr>
          <w:ilvl w:val="1"/>
          <w:numId w:val="1057"/>
        </w:numPr>
        <w:pStyle w:val="Compact"/>
      </w:pPr>
      <w:r>
        <w:t xml:space="preserve">最大値（境界値を含む）：</w:t>
      </w:r>
      <w:r>
        <w:rPr>
          <w:rStyle w:val="VerbatimChar"/>
        </w:rPr>
        <w:t xml:space="preserve">maximum</w:t>
      </w:r>
    </w:p>
    <w:p>
      <w:pPr>
        <w:numPr>
          <w:ilvl w:val="1"/>
          <w:numId w:val="1057"/>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5"/>
        </w:numPr>
        <w:pStyle w:val="Compact"/>
      </w:pPr>
      <w:r>
        <w:t xml:space="preserve">配列:</w:t>
      </w:r>
    </w:p>
    <w:p>
      <w:pPr>
        <w:numPr>
          <w:ilvl w:val="1"/>
          <w:numId w:val="1058"/>
        </w:numPr>
        <w:pStyle w:val="Compact"/>
      </w:pPr>
      <w:r>
        <w:t xml:space="preserve">最大要素数：</w:t>
      </w:r>
      <w:r>
        <w:rPr>
          <w:rStyle w:val="VerbatimChar"/>
        </w:rPr>
        <w:t xml:space="preserve">maxItems</w:t>
      </w:r>
    </w:p>
    <w:p>
      <w:pPr>
        <w:numPr>
          <w:ilvl w:val="1"/>
          <w:numId w:val="1058"/>
        </w:numPr>
        <w:pStyle w:val="Compact"/>
      </w:pPr>
      <w:r>
        <w:t xml:space="preserve">最小要素数：</w:t>
      </w:r>
      <w:r>
        <w:rPr>
          <w:rStyle w:val="VerbatimChar"/>
        </w:rPr>
        <w:t xml:space="preserve">minItems</w:t>
      </w:r>
    </w:p>
    <w:p>
      <w:pPr>
        <w:numPr>
          <w:ilvl w:val="1"/>
          <w:numId w:val="1058"/>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8"/>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4"/>
    <w:bookmarkStart w:id="95"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5"/>
    <w:bookmarkStart w:id="96"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6"/>
    <w:bookmarkStart w:id="97"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7"/>
    <w:bookmarkEnd w:id="98"/>
    <w:bookmarkStart w:id="107"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9"/>
        </w:numPr>
        <w:pStyle w:val="Compact"/>
      </w:pPr>
      <w:r>
        <w:t xml:space="preserve">API path ごとに担当者を分けて設計する場合などに、複数人による編集によって意図しないコンフリクトが発生することを防ぐ</w:t>
      </w:r>
    </w:p>
    <w:p>
      <w:pPr>
        <w:numPr>
          <w:ilvl w:val="0"/>
          <w:numId w:val="1059"/>
        </w:numPr>
        <w:pStyle w:val="Compact"/>
      </w:pPr>
      <w:r>
        <w:t xml:space="preserve">ファイルの肥大化による、可読性の低下を防ぐ</w:t>
      </w:r>
    </w:p>
    <w:bookmarkStart w:id="103"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60"/>
        </w:numPr>
        <w:pStyle w:val="Compact"/>
      </w:pPr>
      <w:r>
        <w:t xml:space="preserve">API path ごとに設計担当者を分けて、それぞれに OpenAPI を編集する場合は、path の単位で分割する。</w:t>
      </w:r>
    </w:p>
    <w:p>
      <w:pPr>
        <w:numPr>
          <w:ilvl w:val="0"/>
          <w:numId w:val="1060"/>
        </w:numPr>
        <w:pStyle w:val="Compact"/>
      </w:pPr>
      <w:r>
        <w:t xml:space="preserve">テストツールとして</w:t>
      </w:r>
      <w:r>
        <w:t xml:space="preserve"> </w:t>
      </w:r>
      <w:hyperlink r:id="rId99">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1"/>
        </w:numPr>
        <w:pStyle w:val="Compact"/>
      </w:pPr>
      <w:r>
        <w:t xml:space="preserve">OpenAPI 仕様上、</w:t>
      </w:r>
      <w:r>
        <w:rPr>
          <w:rStyle w:val="VerbatimChar"/>
        </w:rPr>
        <w:t xml:space="preserve">$ref</w:t>
      </w:r>
      <w:r>
        <w:t xml:space="preserve"> </w:t>
      </w:r>
      <w:r>
        <w:t xml:space="preserve">は</w:t>
      </w:r>
      <w:hyperlink r:id="rId100">
        <w:r>
          <w:rPr>
            <w:rStyle w:val="ad"/>
          </w:rPr>
          <w:t xml:space="preserve">利用できる箇所が限定されている</w:t>
        </w:r>
      </w:hyperlink>
      <w:r>
        <w:t xml:space="preserve">ことに注意する</w:t>
      </w:r>
    </w:p>
    <w:p>
      <w:pPr>
        <w:numPr>
          <w:ilvl w:val="1"/>
          <w:numId w:val="1062"/>
        </w:numPr>
        <w:pStyle w:val="Compact"/>
      </w:pPr>
      <w:r>
        <w:t xml:space="preserve">例えば</w:t>
      </w:r>
      <w:hyperlink r:id="rId101">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2">
        <w:r>
          <w:rPr>
            <w:rStyle w:val="ad"/>
          </w:rPr>
          <w:t xml:space="preserve">Operation</w:t>
        </w:r>
      </w:hyperlink>
      <w:r>
        <w:t xml:space="preserve">（HTTPメソッドの粒度）では利用不可である</w:t>
      </w:r>
    </w:p>
    <w:bookmarkEnd w:id="103"/>
    <w:bookmarkStart w:id="106"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4">
        <w:r>
          <w:rPr>
            <w:rStyle w:val="ad"/>
          </w:rPr>
          <w:t xml:space="preserve">sample_divided</w:t>
        </w:r>
      </w:hyperlink>
      <w:r>
        <w:t xml:space="preserve">を参照すること。</w:t>
      </w:r>
    </w:p>
    <w:p>
      <w:pPr>
        <w:numPr>
          <w:ilvl w:val="0"/>
          <w:numId w:val="1063"/>
        </w:numPr>
      </w:pPr>
      <w:r>
        <w:t xml:space="preserve">リソース単位にディレクトリを作成して、path ごとに定義ファイルを格納する。</w:t>
      </w:r>
    </w:p>
    <w:p>
      <w:pPr>
        <w:numPr>
          <w:ilvl w:val="0"/>
          <w:numId w:val="1063"/>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3"/>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3"/>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3"/>
        </w:numPr>
      </w:pPr>
      <w:r>
        <w:t xml:space="preserve">OpenAPI の使用用途により、分割ファイルを1つのファイルにまとめる必要がある場合には、例えば</w:t>
      </w:r>
      <w:hyperlink r:id="rId105">
        <w:r>
          <w:rPr>
            <w:rStyle w:val="ad"/>
          </w:rPr>
          <w:t xml:space="preserve">Redocly CLI</w:t>
        </w:r>
      </w:hyperlink>
      <w:r>
        <w:t xml:space="preserve">を使用して以下コマンドを実行する</w:t>
      </w:r>
    </w:p>
    <w:p>
      <w:pPr>
        <w:numPr>
          <w:ilvl w:val="0"/>
          <w:numId w:val="1063"/>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6"/>
    <w:bookmarkEnd w:id="107"/>
    <w:bookmarkStart w:id="112" w:name="license"/>
    <w:p>
      <w:pPr>
        <w:pStyle w:val="1"/>
      </w:pPr>
      <w:r>
        <w:t xml:space="preserve">License</w:t>
      </w:r>
    </w:p>
    <w:p>
      <w:pPr>
        <w:pStyle w:val="FirstParagraph"/>
      </w:pPr>
      <w:hyperlink r:id="rId111">
        <w:r>
          <w:drawing>
            <wp:inline>
              <wp:extent cx="1117600" cy="393700"/>
              <wp:effectExtent b="0" l="0" r="0" t="0"/>
              <wp:docPr descr="CC-By-4.0" title="" id="109" name="Picture"/>
              <a:graphic>
                <a:graphicData uri="http://schemas.openxmlformats.org/drawingml/2006/picture">
                  <pic:pic>
                    <pic:nvPicPr>
                      <pic:cNvPr descr="https://licensebuttons.net/l/by/4.0/88x31.png" id="110" name="Picture"/>
                      <pic:cNvPicPr>
                        <a:picLocks noChangeArrowheads="1" noChangeAspect="1"/>
                      </pic:cNvPicPr>
                    </pic:nvPicPr>
                    <pic:blipFill>
                      <a:blip r:embed="rId10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8" Target="media/rId108.png" /><Relationship Type="http://schemas.openxmlformats.org/officeDocument/2006/relationships/hyperlink" Id="rId21" Target="OpenAPI_Specification_2.0.md" TargetMode="External" /><Relationship Type="http://schemas.openxmlformats.org/officeDocument/2006/relationships/hyperlink" Id="rId111"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88" Target="https://future-architect.github.io/articles/20211028b/"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2" Target="https://github.com/OAI/OpenAPI-Specification/blob/main/versions/3.0.3.md#operation-object" TargetMode="External" /><Relationship Type="http://schemas.openxmlformats.org/officeDocument/2006/relationships/hyperlink" Id="rId101"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4"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9"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5"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100" Target="https://swagger.io/docs/specification/using-ref/#allowed-places" TargetMode="External" /><Relationship Type="http://schemas.openxmlformats.org/officeDocument/2006/relationships/hyperlink" Id="rId92"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11"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88" Target="https://future-architect.github.io/articles/20211028b/"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2" Target="https://github.com/OAI/OpenAPI-Specification/blob/main/versions/3.0.3.md#operation-object" TargetMode="External" /><Relationship Type="http://schemas.openxmlformats.org/officeDocument/2006/relationships/hyperlink" Id="rId101"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4"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9"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5"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100" Target="https://swagger.io/docs/specification/using-ref/#allowed-places" TargetMode="External" /><Relationship Type="http://schemas.openxmlformats.org/officeDocument/2006/relationships/hyperlink" Id="rId92"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2025-01-20T04:32:25Z</dcterms:created>
  <dcterms:modified xsi:type="dcterms:W3CDTF">2025-01-20T04:32:25Z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