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2086"/>
        <w:gridCol w:w="772"/>
        <w:gridCol w:w="5061"/>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r>
              <w:t xml:space="preserve">※現在は削除されています</w:t>
            </w:r>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7"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p>
      <w:pPr>
        <w:numPr>
          <w:ilvl w:val="0"/>
          <w:numId w:val="1013"/>
        </w:numPr>
      </w:pPr>
      <w:r>
        <w:t xml:space="preserve">サンプルコードを記載する場合は、</w:t>
      </w:r>
      <w:r>
        <w:rPr>
          <w:rStyle w:val="VerbatimChar"/>
        </w:rPr>
        <w:t xml:space="preserve">{@snippet}</w:t>
      </w:r>
      <w:r>
        <w:t xml:space="preserve">タグを利用する。</w:t>
      </w:r>
    </w:p>
    <w:p>
      <w:pPr>
        <w:numPr>
          <w:ilvl w:val="0"/>
          <w:numId w:val="1000"/>
        </w:numPr>
      </w:pPr>
      <w:r>
        <w:t xml:space="preserve">外部ファイルから引用する例：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t xml:space="preserve">インラインでサンプルコードを記載する例：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Pr>
          <w:t xml:space="preserve">switch文・式で使用する</w:t>
        </w:r>
      </w:hyperlink>
      <w:r>
        <w:t xml:space="preserve">ことも可能。</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t xml:space="preserve">文や式に拡張されたパターンマッチングで記載する。</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69"/>
    <w:bookmarkStart w:id="70" w:name="コレクション"/>
    <w:p>
      <w:pPr>
        <w:pStyle w:val="2"/>
      </w:pPr>
      <w:r>
        <w:t xml:space="preserve">コレクション</w:t>
      </w:r>
    </w:p>
    <w:p>
      <w:pPr>
        <w:numPr>
          <w:ilvl w:val="0"/>
          <w:numId w:val="1044"/>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4"/>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4"/>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5"/>
        </w:numPr>
        <w:pStyle w:val="Compact"/>
      </w:pPr>
      <w:r>
        <w:rPr>
          <w:rStyle w:val="VerbatimChar"/>
        </w:rPr>
        <w:t xml:space="preserve">Collection#forEach</w:t>
      </w:r>
    </w:p>
    <w:p>
      <w:pPr>
        <w:numPr>
          <w:ilvl w:val="1"/>
          <w:numId w:val="1045"/>
        </w:numPr>
        <w:pStyle w:val="Compact"/>
      </w:pPr>
      <w:r>
        <w:rPr>
          <w:rStyle w:val="VerbatimChar"/>
        </w:rPr>
        <w:t xml:space="preserve">Set#forEach</w:t>
      </w:r>
    </w:p>
    <w:p>
      <w:pPr>
        <w:numPr>
          <w:ilvl w:val="1"/>
          <w:numId w:val="1045"/>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6"/>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70"/>
    <w:bookmarkStart w:id="71" w:name="順序を保持するコレクション"/>
    <w:p>
      <w:pPr>
        <w:pStyle w:val="2"/>
      </w:pPr>
      <w:r>
        <w:t xml:space="preserve">順序を保持するコレクション</w:t>
      </w:r>
    </w:p>
    <w:p>
      <w:pPr>
        <w:numPr>
          <w:ilvl w:val="0"/>
          <w:numId w:val="1047"/>
        </w:numPr>
      </w:pPr>
      <w: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t xml:space="preserve">インターフェースで定義された</w:t>
      </w:r>
      <w:r>
        <w:rPr>
          <w:bCs/>
          <w:b/>
        </w:rPr>
        <w:t xml:space="preserve">専用のメソッド</w:t>
      </w:r>
      <w: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t xml:space="preserve">）の使用を推奨する。従来の記述と専用メソッドで性能面の違いはないので、どちらを使用するか各プロジェクトで揺れがないように統一する。</w:t>
      </w:r>
    </w:p>
    <w:p>
      <w:pPr>
        <w:numPr>
          <w:ilvl w:val="0"/>
          <w:numId w:val="1000"/>
        </w:numPr>
      </w:pPr>
      <w:r>
        <w:t xml:space="preserve">良い例：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t xml:space="preserve">で取得されるのは元のインスタンスの参照であるため、要素を変更すると元のインスタンスに反映されることに注意。</w:t>
      </w:r>
    </w:p>
    <w:p>
      <w:pPr>
        <w:numPr>
          <w:ilvl w:val="0"/>
          <w:numId w:val="1047"/>
        </w:numPr>
      </w:pPr>
      <w:r>
        <w:t xml:space="preserve">大量の要素に対する先頭や末尾への頻繁な追加・削除操作は、</w:t>
      </w:r>
      <w:r>
        <w:rPr>
          <w:rStyle w:val="VerbatimChar"/>
        </w:rPr>
        <w:t xml:space="preserve">ArrayList</w:t>
      </w:r>
      <w:r>
        <w:t xml:space="preserve"> </w:t>
      </w:r>
      <w: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bCs/>
          <w:b/>
        </w:rPr>
        <w:t xml:space="preserve">両端の操作が効率的な実装</w:t>
      </w:r>
      <w:r>
        <w:t xml:space="preserve">を選択することを検討してください。</w:t>
      </w:r>
    </w:p>
    <w:bookmarkEnd w:id="71"/>
    <w:bookmarkStart w:id="72" w:name="ラムダ式メソッド参照コンストラクタ参照"/>
    <w:p>
      <w:pPr>
        <w:pStyle w:val="2"/>
      </w:pPr>
      <w:r>
        <w:t xml:space="preserve">ラムダ式・メソッド参照・コンストラクタ参照</w:t>
      </w:r>
    </w:p>
    <w:p>
      <w:pPr>
        <w:numPr>
          <w:ilvl w:val="0"/>
          <w:numId w:val="1048"/>
        </w:numPr>
      </w:pPr>
      <w:r>
        <w:t xml:space="preserve">ラムダ式が利用できる箇所はラムダ式を利用してよい</w:t>
      </w:r>
      <w:r>
        <w:br/>
      </w:r>
      <w:hyperlink w:anchor="ラムダ式メソッド参照コンストラクタ参照-1">
        <w:r>
          <w:rPr>
            <w:rStyle w:val="ad"/>
          </w:rPr>
          <w:t xml:space="preserve">※パフォーマンスについても記載しているので参考にしてください</w:t>
        </w:r>
      </w:hyperlink>
    </w:p>
    <w:p>
      <w:pPr>
        <w:numPr>
          <w:ilvl w:val="0"/>
          <w:numId w:val="1048"/>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2"/>
    <w:bookmarkStart w:id="73" w:name="実質的-finaleffectively-final"/>
    <w:p>
      <w:pPr>
        <w:pStyle w:val="2"/>
      </w:pPr>
      <w:r>
        <w:t xml:space="preserve">実質的 final（effectively final）</w:t>
      </w:r>
    </w:p>
    <w:p>
      <w:pPr>
        <w:numPr>
          <w:ilvl w:val="0"/>
          <w:numId w:val="1049"/>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3"/>
    <w:bookmarkStart w:id="74" w:name="stream-api"/>
    <w:p>
      <w:pPr>
        <w:pStyle w:val="2"/>
      </w:pPr>
      <w:r>
        <w:t xml:space="preserve">Stream API</w:t>
      </w:r>
    </w:p>
    <w:p>
      <w:pPr>
        <w:numPr>
          <w:ilvl w:val="0"/>
          <w:numId w:val="1050"/>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50"/>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t xml:space="preserve">インデントは統合開発環境の提供するフォーマッタに合わせる</w:t>
      </w:r>
    </w:p>
    <w:p>
      <w:pPr>
        <w:numPr>
          <w:ilvl w:val="0"/>
          <w:numId w:val="1050"/>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50"/>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4"/>
    <w:bookmarkStart w:id="75" w:name="optional"/>
    <w:p>
      <w:pPr>
        <w:pStyle w:val="2"/>
      </w:pPr>
      <w:r>
        <w:t xml:space="preserve">Optional</w:t>
      </w:r>
    </w:p>
    <w:p>
      <w:pPr>
        <w:numPr>
          <w:ilvl w:val="0"/>
          <w:numId w:val="1051"/>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5"/>
    <w:bookmarkStart w:id="77" w:name="var-local-variable-type-inference"/>
    <w:p>
      <w:pPr>
        <w:pStyle w:val="2"/>
      </w:pPr>
      <w:r>
        <w:t xml:space="preserve">var (Local-Variable Type Inference)</w:t>
      </w:r>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2"/>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3"/>
        </w:numPr>
        <w:pStyle w:val="Compact"/>
      </w:pPr>
      <w:r>
        <w:rPr>
          <w:rStyle w:val="VerbatimChar"/>
        </w:rPr>
        <w:t xml:space="preserve">var</w:t>
      </w:r>
      <w:r>
        <w:t xml:space="preserve">を利用しない</w:t>
      </w:r>
    </w:p>
    <w:p>
      <w:pPr>
        <w:numPr>
          <w:ilvl w:val="1"/>
          <w:numId w:val="1053"/>
        </w:numPr>
        <w:pStyle w:val="Compact"/>
      </w:pPr>
      <w:r>
        <w:t xml:space="preserve">原則</w:t>
      </w:r>
      <w:r>
        <w:rPr>
          <w:rStyle w:val="VerbatimChar"/>
        </w:rPr>
        <w:t xml:space="preserve">var</w:t>
      </w:r>
      <w:r>
        <w:t xml:space="preserve">を利用する</w:t>
      </w:r>
    </w:p>
    <w:p>
      <w:pPr>
        <w:numPr>
          <w:ilvl w:val="1"/>
          <w:numId w:val="1053"/>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4"/>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7"/>
    <w:bookmarkStart w:id="78" w:name="レコード"/>
    <w:p>
      <w:pPr>
        <w:pStyle w:val="2"/>
      </w:pPr>
      <w:r>
        <w:t xml:space="preserve">レコード</w:t>
      </w:r>
    </w:p>
    <w:p>
      <w:pPr>
        <w:numPr>
          <w:ilvl w:val="0"/>
          <w:numId w:val="1055"/>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6"/>
        </w:numPr>
      </w:pPr>
      <w:r>
        <w:rPr>
          <w:rStyle w:val="VerbatimChar"/>
        </w:rPr>
        <w:t xml:space="preserve">{</w:t>
      </w:r>
      <w:r>
        <w:t xml:space="preserve">の後、</w:t>
      </w:r>
      <w:r>
        <w:rPr>
          <w:rStyle w:val="VerbatimChar"/>
        </w:rPr>
        <w:t xml:space="preserve">}</w:t>
      </w:r>
      <w:r>
        <w:t xml:space="preserve">の前に改行する</w:t>
      </w:r>
    </w:p>
    <w:p>
      <w:pPr>
        <w:numPr>
          <w:ilvl w:val="1"/>
          <w:numId w:val="1056"/>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7"/>
        </w:numPr>
        <w:pStyle w:val="Compact"/>
      </w:pPr>
      <w:r>
        <w:t xml:space="preserve">アノテーションを付与したときでも比較的読みやすい（アノテーション引数との混在による可読性の低下の回避）</w:t>
      </w:r>
    </w:p>
    <w:p>
      <w:pPr>
        <w:numPr>
          <w:ilvl w:val="2"/>
          <w:numId w:val="1057"/>
        </w:numPr>
        <w:pStyle w:val="Compact"/>
      </w:pPr>
      <w:r>
        <w:t xml:space="preserve">レコードコンポーネントが多い場合も比較的読みやすい</w:t>
      </w:r>
    </w:p>
    <w:p>
      <w:pPr>
        <w:numPr>
          <w:ilvl w:val="1"/>
          <w:numId w:val="1056"/>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レコードパターン"/>
    <w:p>
      <w:pPr>
        <w:pStyle w:val="2"/>
      </w:pPr>
      <w:r>
        <w:t xml:space="preserve">レコードパターン</w:t>
      </w:r>
    </w:p>
    <w:p>
      <w:pPr>
        <w:numPr>
          <w:ilvl w:val="0"/>
          <w:numId w:val="1058"/>
        </w:numPr>
      </w:pPr>
      <w:r>
        <w:t xml:space="preserve">レコードパターンは、データの分解と型チェックを同時に行えるため、冗長なコードの削減、型安全性の向上、IDEによる補完やリファクタリング支援などのメリットがあります。</w:t>
      </w:r>
      <w:r>
        <w:br/>
      </w:r>
      <w:r>
        <w:t xml:space="preserve">これにより、コードの可読性・保守性・安全性が高まるため、レコードを使用する場合はレコードパターンを用いて記述することを推奨します。</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79"/>
    <w:bookmarkStart w:id="80" w:name="シールクラス"/>
    <w:p>
      <w:pPr>
        <w:pStyle w:val="2"/>
      </w:pPr>
      <w:r>
        <w:t xml:space="preserve">シールクラス</w:t>
      </w:r>
    </w:p>
    <w:p>
      <w:pPr>
        <w:numPr>
          <w:ilvl w:val="0"/>
          <w:numId w:val="1059"/>
        </w:numPr>
      </w:pPr>
      <w:r>
        <w:t xml:space="preserve">明確な方針で、利用する・利用しないを統一すること</w:t>
      </w:r>
      <w:r>
        <w:br/>
      </w:r>
      <w:r>
        <w:t xml:space="preserve">方針無く、</w:t>
      </w:r>
      <w:r>
        <w:rPr>
          <w:rStyle w:val="VerbatimChar"/>
        </w:rPr>
        <w:t xml:space="preserve">sealed</w:t>
      </w:r>
      <w:r>
        <w:t xml:space="preserve">を利用するとコードの保守性や柔軟性が悪くなります。</w:t>
      </w:r>
      <w:r>
        <w:br/>
      </w:r>
      <w:r>
        <w:t xml:space="preserve">各プロジェクトで、</w:t>
      </w:r>
      <w:r>
        <w:rPr>
          <w:rStyle w:val="VerbatimChar"/>
        </w:rPr>
        <w:t xml:space="preserve">sealed</w:t>
      </w:r>
      <w:r>
        <w:t xml:space="preserve">を利用しないか、</w:t>
      </w:r>
      <w:r>
        <w:rPr>
          <w:rStyle w:val="VerbatimChar"/>
        </w:rPr>
        <w:t xml:space="preserve">sealed</w:t>
      </w:r>
      <w:r>
        <w:t xml:space="preserve">を利用しても良い箇所について方針を決めた上で使用するようにしてください。</w:t>
      </w:r>
    </w:p>
    <w:p>
      <w:pPr>
        <w:numPr>
          <w:ilvl w:val="0"/>
          <w:numId w:val="1000"/>
        </w:numPr>
      </w:pPr>
      <w:r>
        <w:t xml:space="preserve">方針例：</w:t>
      </w:r>
    </w:p>
    <w:p>
      <w:pPr>
        <w:numPr>
          <w:ilvl w:val="1"/>
          <w:numId w:val="1060"/>
        </w:numPr>
        <w:pStyle w:val="Compact"/>
      </w:pPr>
      <w:r>
        <w:t xml:space="preserve">プロジェクト内で使用する共通機能ライブラリに限定して使用する</w:t>
      </w:r>
    </w:p>
    <w:p>
      <w:pPr>
        <w:numPr>
          <w:ilvl w:val="1"/>
          <w:numId w:val="1060"/>
        </w:numPr>
        <w:pStyle w:val="Compact"/>
      </w:pPr>
      <w:r>
        <w:t xml:space="preserve">外部公開APIでは禁止し、内部ユーティリティやドメイン層のみ許可する</w:t>
      </w:r>
    </w:p>
    <w:p>
      <w:pPr>
        <w:numPr>
          <w:ilvl w:val="1"/>
          <w:numId w:val="1060"/>
        </w:numPr>
        <w:pStyle w:val="Compact"/>
      </w:pPr>
      <w:r>
        <w:t xml:space="preserve">サードパーティ連携部分では利用しない</w:t>
      </w:r>
    </w:p>
    <w:p>
      <w:pPr>
        <w:numPr>
          <w:ilvl w:val="1"/>
          <w:numId w:val="1060"/>
        </w:numPr>
        <w:pStyle w:val="Compact"/>
      </w:pPr>
      <w:r>
        <w:t xml:space="preserve">全体で利用しない</w:t>
      </w:r>
      <w:r>
        <w:t xml:space="preserve"> </w:t>
      </w:r>
      <w:r>
        <w:t xml:space="preserve">など、用途や公開範囲に応じて具体的な方針を決めてください。</w:t>
      </w:r>
    </w:p>
    <w:p>
      <w:pPr>
        <w:numPr>
          <w:ilvl w:val="0"/>
          <w:numId w:val="1000"/>
        </w:numPr>
      </w:pPr>
      <w:r>
        <w:rPr>
          <w:bCs/>
          <w:b/>
        </w:rPr>
        <w:t xml:space="preserve">【補足：シールクラス（sealed classes）とは】</w:t>
      </w:r>
      <w:r>
        <w:br/>
      </w:r>
      <w:r>
        <w:t xml:space="preserve">Javaのsealedクラスは、継承できるサブクラスを明示的に制限する仕組みです。</w:t>
      </w:r>
      <w:r>
        <w:br/>
      </w:r>
      <w:r>
        <w:t xml:space="preserve">これにより、ドメインモデルの制約強化やパターンマッチングの網羅性チェックが可能となり、意図しない拡張や誤用を防ぐことができます。</w:t>
      </w:r>
      <w:r>
        <w:br/>
      </w:r>
      <w: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t xml:space="preserve">メリットは安全性・可読性の向上ですが、柔軟な拡張が難しくなるデメリットもあるため、利用方針を明確に定めてください。</w:t>
      </w:r>
    </w:p>
    <w:bookmarkEnd w:id="80"/>
    <w:bookmarkStart w:id="82" w:name="テキストブロック"/>
    <w:p>
      <w:pPr>
        <w:pStyle w:val="2"/>
      </w:pPr>
      <w:r>
        <w:t xml:space="preserve">テキストブロック</w:t>
      </w:r>
    </w:p>
    <w:p>
      <w:pPr>
        <w:pStyle w:val="FirstParagraph"/>
      </w:pPr>
      <w:r>
        <w:t xml:space="preserve">次のリンクも参考にしてください。</w:t>
      </w:r>
      <w:r>
        <w:br/>
      </w:r>
      <w:hyperlink r:id="rId81">
        <w:r>
          <w:rPr>
            <w:rStyle w:val="ad"/>
          </w:rPr>
          <w:t xml:space="preserve">Programmer’s Guide To Text Blocks &gt; Style Guidelines For Text Blocks</w:t>
        </w:r>
      </w:hyperlink>
    </w:p>
    <w:p>
      <w:pPr>
        <w:numPr>
          <w:ilvl w:val="0"/>
          <w:numId w:val="1061"/>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61"/>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61"/>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61"/>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61"/>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61"/>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t xml:space="preserve">テキストブロックのインデントにスペース文字とタブ文字を混在させない</w:t>
      </w:r>
    </w:p>
    <w:p>
      <w:pPr>
        <w:numPr>
          <w:ilvl w:val="0"/>
          <w:numId w:val="1061"/>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82"/>
    <w:bookmarkStart w:id="83" w:name="ストリームinputstream-outputstream"/>
    <w:p>
      <w:pPr>
        <w:pStyle w:val="2"/>
      </w:pPr>
      <w:r>
        <w:t xml:space="preserve">ストリーム（InputStream OutputStream）</w:t>
      </w:r>
    </w:p>
    <w:p>
      <w:pPr>
        <w:numPr>
          <w:ilvl w:val="0"/>
          <w:numId w:val="1062"/>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83"/>
    <w:bookmarkStart w:id="84" w:name="リソースの解放"/>
    <w:p>
      <w:pPr>
        <w:pStyle w:val="2"/>
      </w:pPr>
      <w:r>
        <w:t xml:space="preserve">リソースの解放</w:t>
      </w:r>
    </w:p>
    <w:p>
      <w:pPr>
        <w:numPr>
          <w:ilvl w:val="0"/>
          <w:numId w:val="1063"/>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4"/>
    <w:bookmarkStart w:id="85" w:name="例外"/>
    <w:p>
      <w:pPr>
        <w:pStyle w:val="2"/>
      </w:pPr>
      <w:r>
        <w:t xml:space="preserve">例外</w:t>
      </w:r>
    </w:p>
    <w:p>
      <w:pPr>
        <w:numPr>
          <w:ilvl w:val="0"/>
          <w:numId w:val="1064"/>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t xml:space="preserve">クラスのオブジェクトを生成してスローしない</w:t>
      </w:r>
    </w:p>
    <w:p>
      <w:pPr>
        <w:numPr>
          <w:ilvl w:val="0"/>
          <w:numId w:val="1064"/>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64"/>
        </w:numPr>
      </w:pPr>
      <w:r>
        <w:t xml:space="preserve">例外クラスは無駄に定義しない</w:t>
      </w:r>
    </w:p>
    <w:bookmarkEnd w:id="85"/>
    <w:bookmarkStart w:id="86" w:name="ガベージコレクション"/>
    <w:p>
      <w:pPr>
        <w:pStyle w:val="2"/>
      </w:pPr>
      <w:r>
        <w:t xml:space="preserve">ガベージコレクション</w:t>
      </w:r>
    </w:p>
    <w:p>
      <w:pPr>
        <w:numPr>
          <w:ilvl w:val="0"/>
          <w:numId w:val="1065"/>
        </w:numPr>
        <w:pStyle w:val="Compact"/>
      </w:pPr>
      <w:r>
        <w:t xml:space="preserve">原則</w:t>
      </w:r>
      <w:r>
        <w:rPr>
          <w:rStyle w:val="VerbatimChar"/>
        </w:rPr>
        <w:t xml:space="preserve">finalize()</w:t>
      </w:r>
      <w:r>
        <w:t xml:space="preserve">のオーバーライド実装は禁止</w:t>
      </w:r>
    </w:p>
    <w:p>
      <w:pPr>
        <w:numPr>
          <w:ilvl w:val="0"/>
          <w:numId w:val="1065"/>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5"/>
        </w:numPr>
        <w:pStyle w:val="Compact"/>
      </w:pPr>
      <w:r>
        <w:t xml:space="preserve">アプリケーションから</w:t>
      </w:r>
      <w:r>
        <w:rPr>
          <w:rStyle w:val="VerbatimChar"/>
        </w:rPr>
        <w:t xml:space="preserve">finalize()</w:t>
      </w:r>
      <w:r>
        <w:t xml:space="preserve">を呼び出さない</w:t>
      </w:r>
    </w:p>
    <w:bookmarkEnd w:id="86"/>
    <w:bookmarkEnd w:id="87"/>
    <w:bookmarkStart w:id="90" w:name="コメント規約"/>
    <w:p>
      <w:pPr>
        <w:pStyle w:val="1"/>
      </w:pPr>
      <w:r>
        <w:t xml:space="preserve">コメント規約</w:t>
      </w:r>
    </w:p>
    <w:bookmarkStart w:id="88" w:name="よいコメントの鉄則"/>
    <w:p>
      <w:pPr>
        <w:pStyle w:val="2"/>
      </w:pPr>
      <w:r>
        <w:t xml:space="preserve">よいコメントの鉄則</w:t>
      </w:r>
    </w:p>
    <w:p>
      <w:pPr>
        <w:numPr>
          <w:ilvl w:val="0"/>
          <w:numId w:val="1066"/>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6"/>
        </w:numPr>
      </w:pPr>
      <w:r>
        <w:t xml:space="preserve">コメント化する価値がないプログラムならば、実行するに値しない</w:t>
      </w:r>
      <w:r>
        <w:br/>
      </w:r>
      <w:r>
        <w:t xml:space="preserve">有用な格言。コメントは必須。</w:t>
      </w:r>
    </w:p>
    <w:p>
      <w:pPr>
        <w:numPr>
          <w:ilvl w:val="0"/>
          <w:numId w:val="1066"/>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7"/>
        </w:numPr>
        <w:pStyle w:val="Compact"/>
      </w:pPr>
      <w:r>
        <w:t xml:space="preserve">副作用のある処理の場合は、その内容　（→ メソッドの引数オブジェクトがメソッド内で変更されるケースなど）</w:t>
      </w:r>
    </w:p>
    <w:p>
      <w:pPr>
        <w:numPr>
          <w:ilvl w:val="1"/>
          <w:numId w:val="1067"/>
        </w:numPr>
        <w:pStyle w:val="Compact"/>
      </w:pPr>
      <w:r>
        <w:t xml:space="preserve">既知のバグ　（→ 判明しているが修正しないことにした場合など）</w:t>
      </w:r>
    </w:p>
    <w:p>
      <w:pPr>
        <w:numPr>
          <w:ilvl w:val="1"/>
          <w:numId w:val="1067"/>
        </w:numPr>
        <w:pStyle w:val="Compact"/>
      </w:pPr>
      <w:r>
        <w:t xml:space="preserve">影響のある事前条件、事後条件　（→ メソッドが正しく動作するための前提について）</w:t>
      </w:r>
    </w:p>
    <w:p>
      <w:pPr>
        <w:numPr>
          <w:ilvl w:val="1"/>
          <w:numId w:val="1067"/>
        </w:numPr>
        <w:pStyle w:val="Compact"/>
      </w:pPr>
      <w:r>
        <w:t xml:space="preserve">並行性　（→ 　マルチスレッドでアクセスされた場合の動作について）</w:t>
      </w:r>
    </w:p>
    <w:p>
      <w:pPr>
        <w:numPr>
          <w:ilvl w:val="1"/>
          <w:numId w:val="1067"/>
        </w:numPr>
        <w:pStyle w:val="Compact"/>
      </w:pPr>
      <w:r>
        <w:t xml:space="preserve">該当メソッドの使用例やサンプルコード</w:t>
      </w:r>
    </w:p>
    <w:p>
      <w:pPr>
        <w:numPr>
          <w:ilvl w:val="0"/>
          <w:numId w:val="1066"/>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CommentTok"/>
        </w:rPr>
        <w:t xml:space="preserve">//TODO：ワークフローの仕様決定待ち　関連チケット#12345</w:t>
      </w:r>
    </w:p>
    <w:bookmarkEnd w:id="88"/>
    <w:bookmarkStart w:id="89"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t xml:space="preserve"> </w:t>
            </w:r>
            <w:r>
              <w:t xml:space="preserve">* 顧客（Customer）-</w:t>
            </w:r>
            <w:r>
              <w:t xml:space="preserve"> </w:t>
            </w:r>
            <w:r>
              <w:t xml:space="preserve">* 顧客はわれわれがサービスまたは製品を売った人物</w:t>
            </w:r>
            <w:r>
              <w:t xml:space="preserve"> </w:t>
            </w:r>
            <w:r>
              <w:t xml:space="preserve">* もしくは組織のいずれかである。</w:t>
            </w:r>
            <w:r>
              <w:t xml:space="preserve"> </w:t>
            </w:r>
            <w:r>
              <w:t xml:space="preserve">*</w:t>
            </w:r>
            <w:r>
              <w:t xml:space="preserve"> </w:t>
            </w:r>
            <w:r>
              <w:t xml:space="preserve">@author</w:t>
            </w:r>
            <w:r>
              <w:t xml:space="preserve"> </w:t>
            </w:r>
            <w:r>
              <w:t xml:space="preserve">開発太郎</w:t>
            </w:r>
            <w:r>
              <w:t xml:space="preserve"> </w:t>
            </w:r>
            <w:r>
              <w:t xml:space="preserve">*/</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9"/>
    <w:bookmarkEnd w:id="90"/>
    <w:bookmarkStart w:id="99"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92"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8"/>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bookmarkStart w:id="91" w:name="ラムダ式メソッド参照コンストラクタ参照-1"/>
      <w:bookmarkEnd w:id="91"/>
    </w:p>
    <w:bookmarkEnd w:id="92"/>
    <w:bookmarkStart w:id="93"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9"/>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70"/>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93"/>
    <w:bookmarkStart w:id="96" w:name="文字列連結"/>
    <w:p>
      <w:pPr>
        <w:pStyle w:val="2"/>
      </w:pPr>
      <w:r>
        <w:t xml:space="preserve">文字列連結</w:t>
      </w:r>
    </w:p>
    <w:bookmarkStart w:id="94"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71"/>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94"/>
    <w:bookmarkStart w:id="95"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72"/>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7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5"/>
    <w:bookmarkEnd w:id="96"/>
    <w:bookmarkStart w:id="97"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74"/>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7"/>
    <w:bookmarkStart w:id="98"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5"/>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8"/>
    <w:bookmarkEnd w:id="99"/>
    <w:bookmarkStart w:id="104" w:name="license"/>
    <w:p>
      <w:pPr>
        <w:pStyle w:val="1"/>
      </w:pPr>
      <w:r>
        <w:t xml:space="preserve">License</w:t>
      </w:r>
    </w:p>
    <w:p>
      <w:pPr>
        <w:pStyle w:val="FirstParagraph"/>
      </w:pPr>
      <w:hyperlink r:id="rId103">
        <w:r>
          <w:drawing>
            <wp:inline>
              <wp:extent cx="1117600" cy="393700"/>
              <wp:effectExtent b="0" l="0" r="0" t="0"/>
              <wp:docPr descr="CC-By-4.0" title="" id="101" name="Picture"/>
              <a:graphic>
                <a:graphicData uri="http://schemas.openxmlformats.org/drawingml/2006/picture">
                  <pic:pic>
                    <pic:nvPicPr>
                      <pic:cNvPr descr="https://licensebuttons.net/l/by/4.0/88x31.png" id="102" name="Picture"/>
                      <pic:cNvPicPr>
                        <a:picLocks noChangeArrowheads="1" noChangeAspect="1"/>
                      </pic:cNvPicPr>
                    </pic:nvPicPr>
                    <pic:blipFill>
                      <a:blip r:embed="rId10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4"/>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0" Target="media/rId100.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2025-11-11T12:58:39Z</dcterms:created>
  <dcterms:modified xsi:type="dcterms:W3CDTF">2025-11-11T12:58:39Z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