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DC2626"/>
          <w:sz w:val="16"/>
          <w:szCs w:val="16"/>
        </w:rPr>
        <w:t xml:space="preserve">RED TEAM REPORT</w:t>
      </w:r>
    </w:p>
    <w:p>
      <w:pPr>
        <w:spacing w:after="0" w:before="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1E1B4B"/>
          <w:sz w:val="44"/>
          <w:szCs w:val="44"/>
        </w:rPr>
        <w:t xml:space="preserve">BTS 미래역량검사 백서</w:t>
      </w:r>
    </w:p>
    <w:p>
      <w:pPr>
        <w:spacing w:after="12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DC2626"/>
          <w:sz w:val="44"/>
          <w:szCs w:val="44"/>
        </w:rPr>
        <w:t xml:space="preserve">구체적 보강안</w:t>
      </w:r>
    </w:p>
    <w:p>
      <w:pPr>
        <w:spacing w:after="0" w:before="60"/>
      </w:pPr>
    </w:p>
    <w:p>
      <w:pPr>
        <w:pBdr>
          <w:bottom w:val="single" w:color="DC2626" w:sz="3" w:space="1"/>
        </w:pBdr>
        <w:spacing w:after="0" w:before="0"/>
        <w:jc w:val="center"/>
      </w:pPr>
    </w:p>
    <w:p>
      <w:pPr>
        <w:spacing w:after="0" w:before="120"/>
      </w:pPr>
    </w:p>
    <w:p>
      <w:pPr>
        <w:spacing w:after="60" w:before="80" w:line="340"/>
        <w:jc w:val="center"/>
      </w:pPr>
      <w:r>
        <w:rPr>
          <w:rFonts w:ascii="Noto Sans KR" w:cs="Noto Sans KR" w:eastAsia="Noto Sans KR" w:hAnsi="Noto Sans KR"/>
          <w:b/>
          <w:bCs/>
          <w:i w:val="false"/>
          <w:iCs w:val="false"/>
          <w:color w:val="DC2626"/>
          <w:sz w:val="28"/>
          <w:szCs w:val="28"/>
        </w:rPr>
        <w:t xml:space="preserve">목표: 5.8/10 → 9/10</w:t>
      </w: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6B7280"/>
          <w:sz w:val="20"/>
          <w:szCs w:val="20"/>
        </w:rPr>
        <w:t xml:space="preserve">추가 23개 항목 | 수정 14개 항목 | 삭제 5개 항목</w:t>
      </w:r>
    </w:p>
    <w:p>
      <w:pPr>
        <w:spacing w:after="0" w:before="8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6B7280"/>
          <w:sz w:val="18"/>
          <w:szCs w:val="18"/>
        </w:rPr>
        <w:t xml:space="preserve">읽는 법: 빨간색 = 삭제, 초록색 = 추가, 주황색 = 수정</w:t>
      </w: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6B7280"/>
          <w:sz w:val="18"/>
          <w:szCs w:val="18"/>
        </w:rPr>
        <w:t xml:space="preserve">각 항목에 위치 태그(📍)가 표시되어 백서 어느 위치에 반영할지 명시합니다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1. 과학적 타당성 (4/10 → 8/10)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이 섹션이 가장 치명적입니다. 현재 백서는 8문제로 6차원을 "측정"한다고 주장하지만, 심리측정학에서 문항 수가 10개 미만이면 Cronbach 알파가 과소추정됩니다(PMC, UVA Library). 또한 참고문헌과 실제 도구 사이의 논리적 비약이 있습니다.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1-1. 용어 전체 수정 (6개소)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백서 전체 (표지, Executive Summary, 4장 제목, 램딩 페이지)</w:t>
      </w:r>
    </w:p>
    <w:p>
      <w:pPr>
        <w:spacing w:after="80" w:before="20" w:line="340"/>
        <w:jc w:val="left"/>
      </w:pPr>
      <w:r>
        <w:rPr>
          <w:rFonts w:ascii="Noto Sans KR" w:cs="Noto Sans KR" w:eastAsia="Noto Sans KR" w:hAnsi="Noto Sans KR"/>
          <w:b/>
          <w:bCs/>
          <w:color w:val="D97706"/>
          <w:sz w:val="20"/>
          <w:szCs w:val="20"/>
        </w:rPr>
        <w:t xml:space="preserve">[수정]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"미래역량 측정"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"미래역량 탐색"</w:t>
      </w:r>
    </w:p>
    <w:p>
      <w:pPr>
        <w:spacing w:after="80" w:before="20" w:line="340"/>
        <w:jc w:val="left"/>
      </w:pPr>
      <w:r>
        <w:rPr>
          <w:rFonts w:ascii="Noto Sans KR" w:cs="Noto Sans KR" w:eastAsia="Noto Sans KR" w:hAnsi="Noto Sans KR"/>
          <w:b/>
          <w:bCs/>
          <w:color w:val="D97706"/>
          <w:sz w:val="20"/>
          <w:szCs w:val="20"/>
        </w:rPr>
        <w:t xml:space="preserve">[수정]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"측정 역량 — 6차원"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"탐색 역량 — 6차원"</w:t>
      </w:r>
    </w:p>
    <w:p>
      <w:pPr>
        <w:spacing w:after="80" w:before="20" w:line="340"/>
        <w:jc w:val="left"/>
      </w:pPr>
      <w:r>
        <w:rPr>
          <w:rFonts w:ascii="Noto Sans KR" w:cs="Noto Sans KR" w:eastAsia="Noto Sans KR" w:hAnsi="Noto Sans KR"/>
          <w:b/>
          <w:bCs/>
          <w:color w:val="D97706"/>
          <w:sz w:val="20"/>
          <w:szCs w:val="20"/>
        </w:rPr>
        <w:t xml:space="preserve">[수정]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"6차원으로 측정합니다"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"6차원으로 탐색합니다"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이유: "측정(measurement)"은 표준화된 신뢰도/타당도 검증을 전제합니다. 8문항으로는 "탐색(exploration)"이 정확합니다. 16Personalities도 "성격 탐색 도구"로 포지셔닝하며, 이것이 법적 리스크를 피하는 표준 관행입니다.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1-2. 새 섹션 추가: "검사 한계 및 타당화 로드맵"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4장 (4.3 학술적 근거) 뒤에 4.4로 삽입</w:t>
      </w:r>
    </w:p>
    <w:p>
      <w:pPr>
        <w:spacing w:after="80" w:before="2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새 섹션 "§4.4 검사 한계 및 타당화 로드맵" 전체 추가</w:t>
      </w:r>
    </w:p>
    <w:p>
      <w:pPr>
        <w:spacing w:after="0" w:before="2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추가할 본문 (그대로 삽입):</w:t>
      </w:r>
    </w:p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i/>
          <w:iCs/>
          <w:color w:val="059669"/>
          <w:sz w:val="20"/>
          <w:szCs w:val="20"/>
        </w:rPr>
        <w:t xml:space="preserve">"본 검사는 임상적 진단 도구가 아닌, 자기인식 탐색 도구(Self-Awareness Exploration Tool)입니다. 8문항의 시나리오 선택을 통해 사용자의 의사결정 성향을 6차원으로 탐색하되, 정밀한 점수화를 목적으로 하지 않습니다."</w:t>
      </w:r>
    </w:p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i/>
          <w:iCs/>
          <w:color w:val="059669"/>
          <w:sz w:val="20"/>
          <w:szCs w:val="20"/>
        </w:rPr>
        <w:t xml:space="preserve">"타당화 로드맵: Phase 1(출시) — 행동 기반 탐색, Phase 2(3개월) — 1,000명 데이터로 문항별 변별력 분석 및 평균 문항간 상관(mean inter-item correlation) 0.2~0.4 목표 검증, Phase 3(6개월) — 문항 확장(8→16문항) 및 Cronbach α ≥ 0.7 목표 검증, Phase 4(12개월) — 검사-재검사 신뢰도 및 외부 기준타당도 검증"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1-3. 참고문헌 연결 논리 보강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4장 4.3 학술적 근거 섹션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97706"/>
          <w:sz w:val="20"/>
          <w:szCs w:val="20"/>
        </w:rPr>
        <w:t xml:space="preserve">[수정]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"본 검사 모델은 다음 학술 연구 및 프레임워크에 기반합니다:"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"본 검사의 6차원 역량 프레임워크는 다음 연구에서 역량 범주를 도출했습니다. 단, 아래 연구들은 직업의 자동화 가능성을 분석한 것이며, 본 검사 도구 자체를 검증한 것은 아닙니다:"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이유: 현재는 "Frey &amp; Osborne에 근거합니다"가 마치 그 연구자들이 이 검사를 검증한 것처럼 읽힙니다. 명시적 구분이 필요합니다.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2. 비즈니스 모델 (3/10 → 8/10)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현재 백서에는 검사 사이트 자체의 수익 모델이 전혀 없습니다. BTS 퍼널 역할만 하는데, BTS도 무료 3회 모델이라 실제 매출 전환 경로가 불투명합니다.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2-1. 새 섹션 추가: "§2.5 수익 모델 상세"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2장 (2.4 비즈니스 모델) 뒤에 2.5로 삽입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새 섹션 "§2.5 BTS 수익 모델 상세" 전체 추가, 아래 표 포함</w:t>
      </w:r>
    </w:p>
    <w:p>
      <w:pPr>
        <w:spacing w:after="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레이어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상품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가격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타겟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어디에서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무료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기본 역량 탐색 (6차원 바 차트 + 아키타입)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0원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모든 방문자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검사 사이트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유료 1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심층 역량 리포트 PDF (6차원 상세 해석 + 개인화 성장 전략 3개 + 메타분석)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3,900원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결과 확인 후 "더 알고 싶다" 사용자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검사 사이트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유료 2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직업 × 역량 교차 분석 (역량 + AI 대체율 종합 리포트)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무료~9,900원/월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BTS 본앱 가입자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BTS 본앱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B2B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학교/학원 단체 검사 패키지 (대시보드 + 담당 교사 보고서)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30만~100만원/기관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중고등학교, 진로상담실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검사 사이트 B2B 페이지</w:t>
            </w:r>
          </w:p>
        </w:tc>
      </w:tr>
    </w:tbl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2-2. 수익 시뮬레이션 추가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2장 2.5 아래에 추가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아래 본문 그대로 삽입: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i/>
          <w:iCs/>
          <w:color w:val="059669"/>
          <w:sz w:val="20"/>
          <w:szCs w:val="20"/>
        </w:rPr>
        <w:t xml:space="preserve">"월 검사 완료 10,000건 기준 수익 시뮬레이션: 심층 리포트 전환율 5% = 500건 × 3,900원 = 월 195만원. BTS 전환율 10% × 유료 전환 20% = 200명 × 9,900원 = 월 198만원. B2B 기관 3개 = 월 150만원. 총 예상 월 매출: 543만원. 서버/도메인 비용 월 5만원 대비 수익성 확보."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3. 시장 검증 (4/10 → 8/10)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B2C 수요 근거 데이터가 전무하고, 램딩 페이지의 "12,847명" 숫자가 실제 데이터가 아닌 허수입니다.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3-1. 새 섹션 추가: "§3.5 시장 수요 근거"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3장 (3.4 전제 파괴) 뒤에 3.5로 삽입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새 섹션 전체 추가 — 아래 4가지 근거 포함:</w:t>
      </w:r>
    </w:p>
    <w:p>
      <w:pPr>
        <w:spacing w:after="0" w:before="10"/>
      </w:pP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업계 동향: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2026년 서울시가 청년 대상 무료 AI 역량검사 체험 프로그램을 공식 운영 중이며(seoulyouth.co.kr), 대기업에서 AI 역량검사가 채용 필수 관문이 되었습니다(링커리어). 이는 B2B에서 B2C로 확산될 수요가 존재함을 시사합니다.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경쟁 공백: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현재 B2C 미래역량 검사 시장에는 2030년 미래직업 테스트(yourjob.netlify.app) 등 단순 테스트만 존재하며, 6차원 프레임워크와 행동 기반 평가를 결합한 서비스는 부재합니다.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퀵즈 퍼널 벤치마크: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Interact 조사(2026)에 따르면, 퀵즈 퍼널의 평균 리드 전환율은 40.1%이며, 성격/역량 검사 유형의 완료율은 60-80%로 가장 높습니다. 이는 전통적 리드 마그넷 대비 3-4배 높은 수치입니다.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타겟 사용자 정의: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1차 타겟 — 취준생(성인 AI 역량검사 준비 수요 연계), 2차 타겟 — 진로 전환 고민 직장인(30-45세), 3차 타겟 — 자녀 진로 걸정 학부모.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3-2. 램딩 페이지 허수 삭제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5장 5.2 램딩 페이지 구성 및 bts-assessment-site.html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C2626"/>
          <w:sz w:val="20"/>
          <w:szCs w:val="20"/>
        </w:rPr>
        <w:t xml:space="preserve">[삭제]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"이미 12,847명이 검사를 완료했습니다" 삭제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대체문: "베타 오픈 — 무료로 먼저 경험해보세요"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이유: 프로토타입 단계에서 검증되지 않은 숫자는 신뢰를 해칩니다. 출시 후 실제 수치가 쌓이면 그때 업데이트합니다.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4. 퍼널 설계 (6/10 → 9/10)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4-1. 챗봇 구현 방식 변경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5장 5.5 챗봇 퍼널 섹션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97706"/>
          <w:sz w:val="20"/>
          <w:szCs w:val="20"/>
        </w:rPr>
        <w:t xml:space="preserve">[수정]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"결과 화면 하단에 AI 챗봇이 자동으로 대화를 시작합니다. 3단계 대화를 통해 자연스럽게 BTS로 연결합니다"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"결과 화면 하단에 Claude API 기반 실시간 챗봇이 자동으로 대화를 시작합니다. 역량 결과를 컨텍스트로 주입하여 개인화된 대화를 제공하고, 자연스럽게 BTS로 연결합니다"</w:t>
      </w:r>
    </w:p>
    <w:p>
      <w:pPr>
        <w:spacing w:after="0" w:before="10"/>
      </w:pP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챗봇 테이블 아래에 본문 추가: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i/>
          <w:iCs/>
          <w:color w:val="059669"/>
          <w:sz w:val="20"/>
          <w:szCs w:val="20"/>
        </w:rPr>
        <w:t xml:space="preserve">"기술 실현: Claude API(claude-haiku, temperature 0.7)로 구동. 시스템 프롬프트에 사용자의 6차원 점수, 아키타입, 메타분석 결과를 주입. 건당 API 비용 약 0.002달러(≈ 3원). 월 10,000건 기준 월 3만원 수준으로, 하드코딩 스크립트 대비 사용자 경험이 압도적으로 우수합니다."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4-2. 직업명 사전 수집 추가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5장 5.5 챗봇 퍼널 — 2단계 대화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챗봇 2단계에서 직업명을 수집하는 흐름 추가: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i/>
          <w:iCs/>
          <w:color w:val="059669"/>
          <w:sz w:val="20"/>
          <w:szCs w:val="20"/>
        </w:rPr>
        <w:t xml:space="preserve">"챗봇 2단계에서 사용자의 직업/관심 직업을 자연스럽게 수집합니다. BTS 이동 시 URL 파라미터에 job=수집된직업명&amp;scores=역량점수를 포함하여, BTS에서 자동으로 직업명이 입력되고 분석이 시작됩니다. 사용자가 재입력할 필요 없어 이탈을 방지합니다."</w:t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5. 경쟁 분석 (5/10 → 8/10)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5-1. B2C 직접 경쟁자 분석 추가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4장 4.4 경쟁사 비교 — 테이블 위에 삽입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97706"/>
          <w:sz w:val="20"/>
          <w:szCs w:val="20"/>
        </w:rPr>
        <w:t xml:space="preserve">[수정]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"현재 테이블 제목 "경쟁사 비교""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""경쟁사 비교: B2B 기업용 vs B2C 개인용""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기존 테이블(현재 있는 Pymetrics/Arctic Shores) 앞에 B2C 테이블 삽입: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16Personalities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워크넷 직업적성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2030 미래직업 테스트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BTS 미래역량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측정 대상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성격 유형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직업 적성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미래 직업 매칭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미래 역량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문항 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60문항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30~100문항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10~15문항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8문항 (→ 16)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소요시간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12분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20~40분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3분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3분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비용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무료/유료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무료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무료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무료/유료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AI 연동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없음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없음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없음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AI 직업 분석 연동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6"/>
                <w:szCs w:val="16"/>
              </w:rPr>
              <w:t xml:space="preserve">차별화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바이럴 공유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정부 인프라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단순 흥미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역량×직업 교차</w:t>
            </w:r>
          </w:p>
        </w:tc>
      </w:tr>
    </w:tbl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5-2. 경쟁 우위 문구 교체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4장 4.4 경쟁사 비교 테이블 아래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테이블 아래에 본문 추가: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i/>
          <w:iCs/>
          <w:color w:val="059669"/>
          <w:sz w:val="20"/>
          <w:szCs w:val="20"/>
        </w:rPr>
        <w:t xml:space="preserve">"핵심 경쟁 우위: 16Personalities는 성격을 분류하고, 워크넷은 직업을 매칭하지만, 둘 다 '미래에도 통하는가?'라는 질문에 답하지 못합니다. BTS 미래역량 검사는 '나의 역량 × 나의 직업의 AI 대체율'을 교차하는 유일한 B2C 서비스입니다."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6. 기술 설계 (7/10 → 9/10)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6-1. 이벤트 추적 설계 추가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7장 7.1 기술 스택 테이블 아래에 새 서브섹션 7.3으로 삽입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새 섹션 "§7.3 분석 이벤트 설계" 추가 — 아래 테이블 포함:</w:t>
      </w:r>
    </w:p>
    <w:p>
      <w:pPr>
        <w:spacing w:after="0" w:before="1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이벤트명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트리거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6"/>
                <w:szCs w:val="16"/>
              </w:rPr>
              <w:t xml:space="preserve">측정 목적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page_view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램딩 페이지 진입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유입 가사 판단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cta_click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CTA 버튼 클릭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퍼널 진입율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qtype_select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검사 방식 선택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인기 방식 파악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question_answer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각 문항 응답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문항별 이탈/완료율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question_skip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문항 건너뛰기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문항 난이도 판단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assessment_complete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검사 완료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완료율 (KPI)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chatbot_start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챗봇 첫 응답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챗봇 참여율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bts_click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BTS CTA 클릭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본앱 전환율 (KPI)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report_purchase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심층 리포트 구매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유료 전환율 (KPI)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z w:val="16"/>
                <w:szCs w:val="16"/>
              </w:rPr>
              <w:t xml:space="preserve">share_click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SNS 공유 버튼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바이럴 계수</w:t>
            </w:r>
          </w:p>
        </w:tc>
      </w:tr>
    </w:tbl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6-2. Phase 2 마이그레이션 명시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7장 7.1 기술 스택 테이블 첫 행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97706"/>
          <w:sz w:val="20"/>
          <w:szCs w:val="20"/>
        </w:rPr>
        <w:t xml:space="preserve">[수정]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"HTML/CSS/JS (단일 파일 SPA) — 빌드 없이 즉시 배포"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"Phase 1: HTML/CSS/JS 단일 SPA (빌드 없이 즉시 배포). Phase 2(4주차~): Next.js 마이그레이션 (검사 문항 A/B 테스트, 다국어 지원, 검사 이력 저장 시 필요)"</w:t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7. KPI 현실성 (5/10 → 8/10)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7-1. 유입 전략 섹션 추가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8장 8.1 로드맵 앞에 "§8.0 초기 유입 전략"으로 삽입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새 섹션 전체 추가: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카카오톡 공유 최적화: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결과 카드 이미지 자동 생성 (OG 태그) — "나는 [구조 설계자]타입입니다" 형식. 한국 모바일 사용자의 95%가 카카오톡을 사용하므로 최우선 채널.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네이버 블로그 SEO: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"AI 시대 역량 검사", "AI 직업 대체 테스트", "미래 직업 역량" 등 키워드로 5개 블로그 포스트 작성 → 검사 사이트 연결. 검색 유입은 3-6개월 소요되므로 출시일부터 시작.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교육기관 파일럿: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지역 중학교/고등학교 진로상담 교사 3명에게 무료 파일럿 제안. 학급 단위 검사 실시 → 결과 리포트 제공 → 입소문 확보.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수험생 커뮤니티: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링커리어, 오늘학교 등 취준생 커뮤니티에 "AI 역량검사 준비 도구"로 포지셔닝. 서울시 AI 역량검사 체험 프로그램이 운영 중이므로 수요 증명됨.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7-2. KPI 시나리오화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8장 8.2 핵심 KPI 테이블 교체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D97706"/>
          <w:sz w:val="20"/>
          <w:szCs w:val="20"/>
        </w:rPr>
        <w:t xml:space="preserve">[수정] </w:t>
      </w:r>
      <w:r>
        <w:rPr>
          <w:rFonts w:ascii="Noto Sans KR" w:cs="Noto Sans KR" w:eastAsia="Noto Sans KR" w:hAnsi="Noto Sans KR"/>
          <w:color w:val="DC2626"/>
          <w:sz w:val="20"/>
          <w:szCs w:val="20"/>
        </w:rPr>
        <w:t xml:space="preserve">"현재 단일 목표치 (예: BTS 전환율 15%)"</w:t>
      </w:r>
      <w:r>
        <w:rPr>
          <w:rFonts w:ascii="Noto Sans KR" w:cs="Noto Sans KR" w:eastAsia="Noto Sans KR" w:hAnsi="Noto Sans KR"/>
          <w:color w:val="6B7280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"3개 시나리오로 분리: 보수적(5%) / 기본(10%) / 낙관적(15%)"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테이블 교체 — 열 3개를 "보수적 / 기본 / 낙관적"으로 변경하고, 각 행을 3개 수치로 분리: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i/>
          <w:iCs/>
          <w:color w:val="059669"/>
          <w:sz w:val="20"/>
          <w:szCs w:val="20"/>
        </w:rPr>
        <w:t xml:space="preserve">"검사 완료수: 500/1,000/2,000건 | 검사 완료율: 60/70/80% | BTS 클릭율: 5/10/15% | BTS 가입율: 2/5/8% | SNS 공유율: 5/10/20% | 심층리포트 구매율: 2/5/8%"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근거: 업계 벤치마크에서 B2C 퍼널 전환율은 2-5%(Martal Group, 2026), 퀵즈 퍼널은 40% 리드 전환(Interact, 2026)이므로 기본 시나리오가 현실적입니다.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DC2626"/>
          <w:sz w:val="34"/>
          <w:szCs w:val="34"/>
        </w:rPr>
        <w:t xml:space="preserve">8. 개인정보 및 법적 리스크 (3/10 → 8/10)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현재 백서에 개인정보 관련 내용이 전혀 없습니다. 한국 개인정보보호법 제23조에 따르면, 심리적 특성 관련 정보는 건강정보로 분류될 수 있으며, 이는 민감정보에 해당합니다.</w:t>
      </w:r>
    </w:p>
    <w:p>
      <w:pPr>
        <w:pStyle w:val="Heading2"/>
        <w:spacing w:after="120" w:before="240" w:line="340"/>
      </w:pPr>
      <w:r>
        <w:rPr>
          <w:rFonts w:ascii="Noto Sans KR" w:cs="Noto Sans KR" w:eastAsia="Noto Sans KR" w:hAnsi="Noto Sans KR"/>
          <w:b/>
          <w:bCs/>
          <w:color w:val="1E1B4B"/>
          <w:sz w:val="28"/>
          <w:szCs w:val="28"/>
        </w:rPr>
        <w:t xml:space="preserve">8-1. 새 섹션 추가: "§7.4 개인정보 및 법적 고려사항"</w:t>
      </w:r>
    </w:p>
    <w:p>
      <w:pPr>
        <w:spacing w:after="20" w:before="40" w:line="340"/>
        <w:jc w:val="left"/>
      </w:pPr>
      <w:r>
        <w:rPr>
          <w:rFonts w:ascii="Noto Sans KR" w:cs="Noto Sans KR" w:eastAsia="Noto Sans KR" w:hAnsi="Noto Sans KR"/>
          <w:i/>
          <w:iCs/>
          <w:color w:val="6C63FF"/>
          <w:sz w:val="18"/>
          <w:szCs w:val="18"/>
        </w:rPr>
        <w:t xml:space="preserve">📍 위치: 7장 (7.2 모바일 터치) 뒤에 7.4로 삽입</w:t>
      </w:r>
    </w:p>
    <w:p>
      <w:pPr>
        <w:spacing w:after="80" w:before="80" w:line="340"/>
        <w:jc w:val="left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[추가]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새 섹션 전체 추가 — 아래 4가지 항목 포함:</w:t>
      </w:r>
    </w:p>
    <w:p>
      <w:pPr>
        <w:spacing w:after="0" w:before="10"/>
      </w:pP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데이터 수집 범위 명시: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"검사 사이트는 사용자의 응답 데이터를 서버에 저장하지 않습니다. 모든 검사는 브라우저 내에서만 처리되며, 페이지를 닫으면 데이터가 사라집니다. GA/Mixpanel은 익명화된 이벤트 데이터만 수집합니다." — 이 설계가 민감정보 문제를 원천적으로 회피합니다.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URL 파라미터 암호화: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"검사 결과를 BTS로 전달할 때, 평문 점수 대신 Base64 인코딩된 토큰을 사용합니다. 예: ?t=eyJzIjp7InN0Ijo4NSwiY3IiOjcwfX0 — 서버 로그에 개인 역량 점수가 평문으로 기록되는 것을 방지합니다."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면책 조항: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"결과 화면 하단에 면책 문구 추가: '본 검사는 자기인식 탐색 도구이며, 임상적 진단이나 채용 평가의 목적으로 사용될 수 없습니다. 결과는 참고 자료이며, 전문적 진로 상담을 대체하지 않습니다.'"</w:t>
      </w:r>
    </w:p>
    <w:p>
      <w:pPr>
        <w:pStyle w:val="ListParagraph"/>
        <w:numPr>
          <w:ilvl w:val="0"/>
          <w:numId w:val="4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color w:val="059669"/>
          <w:sz w:val="20"/>
          <w:szCs w:val="20"/>
        </w:rPr>
        <w:t xml:space="preserve">표현 수정: </w:t>
      </w:r>
      <w:r>
        <w:rPr>
          <w:rFonts w:ascii="Noto Sans KR" w:cs="Noto Sans KR" w:eastAsia="Noto Sans KR" w:hAnsi="Noto Sans KR"/>
          <w:color w:val="059669"/>
          <w:sz w:val="20"/>
          <w:szCs w:val="20"/>
        </w:rPr>
        <w:t xml:space="preserve">"램딩 페이지 Trust 섹션의 '검증된 프레임워크'를 '검증된 학술 프레임워크 기반 설계'로 변경. 프레임워크가 검증된 것이지, 이 도구가 검증된 것은 아니므로 명확히 구분합니다."</w:t>
      </w:r>
    </w:p>
    <w:p>
      <w:r>
        <w:br w:type="page"/>
      </w:r>
    </w:p>
    <w:p>
      <w:pPr>
        <w:pStyle w:val="Heading1"/>
        <w:spacing w:after="120" w:before="360" w:line="340"/>
      </w:pPr>
      <w:r>
        <w:rPr>
          <w:rFonts w:ascii="Noto Sans KR" w:cs="Noto Sans KR" w:eastAsia="Noto Sans KR" w:hAnsi="Noto Sans KR"/>
          <w:b/>
          <w:bCs/>
          <w:color w:val="1E1B4B"/>
          <w:sz w:val="34"/>
          <w:szCs w:val="34"/>
        </w:rPr>
        <w:t xml:space="preserve">종합: 보강 후 예상 점수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차원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현재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보강 후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18"/>
                <w:szCs w:val="18"/>
              </w:rPr>
              <w:t xml:space="preserve">보강 항목 수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과학적 타당성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6개 용어수정 + 타당화로드맵 + 참고문헌보강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비즈니스 모델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수익모델테이블 + 시뮬레이션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시장 검증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4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수요근거 4가지 + 허수삭제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퍼널 설계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6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0"/>
                <w:szCs w:val="20"/>
              </w:rPr>
              <w:t xml:space="preserve">9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챗봇API화 + 직업명수집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경쟁 분석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B2C경쟁테이블 + 우위문구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기술 설계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7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0"/>
                <w:szCs w:val="20"/>
              </w:rPr>
              <w:t xml:space="preserve">9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이벤트설계 + Phase2명시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KPI 현실성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유입전략 + 3시나리오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법적 리스크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0"/>
                <w:szCs w:val="20"/>
              </w:rPr>
              <w:t xml:space="preserve">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color w:val="374151"/>
                <w:sz w:val="16"/>
                <w:szCs w:val="16"/>
              </w:rPr>
              <w:t xml:space="preserve">데이터정책 + 암호화 + 면책 + 표현수정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평균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2"/>
                <w:szCs w:val="22"/>
              </w:rPr>
              <w:t xml:space="preserve">5.8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2"/>
                <w:szCs w:val="22"/>
              </w:rPr>
              <w:t xml:space="preserve">8.3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80"/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총 42개 보강</w:t>
            </w:r>
          </w:p>
        </w:tc>
      </w:tr>
    </w:tbl>
    <w:p>
      <w:pPr>
        <w:spacing w:after="0" w:before="200"/>
      </w:pPr>
    </w:p>
    <w:p>
      <w:pPr>
        <w:spacing w:after="80" w:before="80" w:line="340"/>
        <w:jc w:val="center"/>
      </w:pPr>
      <w:r>
        <w:rPr>
          <w:rFonts w:ascii="Noto Sans KR" w:cs="Noto Sans KR" w:eastAsia="Noto Sans KR" w:hAnsi="Noto Sans KR"/>
          <w:b/>
          <w:bCs/>
          <w:color w:val="312E81"/>
          <w:sz w:val="22"/>
          <w:szCs w:val="22"/>
        </w:rPr>
        <w:t xml:space="preserve">이 보강안을 모두 반영하면 8.3/10 수준이 됩니다. 9/10에 도달하려면 출시 후 실제 데이터(검사 완료율, 전환율, 파일럿 결과)가 백서에 추가되어야 합니다. 문서만으로 9점은 불가능합니다 — 실행이 검증해야 합니다.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DC2626"/>
        <w:sz w:val="16"/>
        <w:szCs w:val="16"/>
      </w:rPr>
      <w:t xml:space="preserve">RED TEAM — BTS 백서 보강안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Noto Sans KR" w:cs="Noto Sans KR" w:eastAsia="Noto Sans KR" w:hAnsi="Noto Sans KR"/>
      <w:b/>
      <w:bCs/>
      <w:color w:val="1E1B4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Noto Sans KR" w:cs="Noto Sans KR" w:eastAsia="Noto Sans KR" w:hAnsi="Noto Sans KR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Noto Sans KR" w:cs="Noto Sans KR" w:eastAsia="Noto Sans KR" w:hAnsi="Noto Sans KR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2026-04-14T23:47:10.881Z</dcterms:created>
  <dcterms:modified xsi:type="dcterms:W3CDTF">2026-04-14T23:47:10.881Z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