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/>
          <w:bCs/>
          <w:i w:val="false"/>
          <w:iCs w:val="false"/>
          <w:color w:val="DC2626"/>
          <w:sz w:val="16"/>
          <w:szCs w:val="16"/>
        </w:rPr>
        <w:t xml:space="preserve">RED TEAM REPORT v2.0</w:t>
      </w:r>
    </w:p>
    <w:p>
      <w:pPr>
        <w:spacing w:after="0" w:before="20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/>
          <w:bCs/>
          <w:i w:val="false"/>
          <w:iCs w:val="false"/>
          <w:color w:val="1E1B4B"/>
          <w:sz w:val="40"/>
          <w:szCs w:val="40"/>
        </w:rPr>
        <w:t xml:space="preserve">BTS 미래역량 검사 백서</w:t>
      </w:r>
    </w:p>
    <w:p>
      <w:pPr>
        <w:spacing w:after="120" w:before="80" w:line="340"/>
        <w:jc w:val="center"/>
      </w:pPr>
      <w:r>
        <w:rPr>
          <w:rFonts w:ascii="Noto Sans KR" w:cs="Noto Sans KR" w:eastAsia="Noto Sans KR" w:hAnsi="Noto Sans KR"/>
          <w:b/>
          <w:bCs/>
          <w:i w:val="false"/>
          <w:iCs w:val="false"/>
          <w:color w:val="DC2626"/>
          <w:sz w:val="40"/>
          <w:szCs w:val="40"/>
        </w:rPr>
        <w:t xml:space="preserve">1,000억 매출 전략 보강안</w:t>
      </w:r>
    </w:p>
    <w:p>
      <w:pPr>
        <w:spacing w:after="0" w:before="40"/>
      </w:pPr>
    </w:p>
    <w:p>
      <w:pPr>
        <w:pBdr>
          <w:bottom w:val="single" w:color="DC2626" w:sz="3" w:space="1"/>
        </w:pBdr>
        <w:spacing w:after="0" w:before="0"/>
        <w:jc w:val="center"/>
      </w:pPr>
    </w:p>
    <w:p>
      <w:pPr>
        <w:spacing w:after="0" w:before="12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6B7280"/>
          <w:sz w:val="22"/>
          <w:szCs w:val="22"/>
        </w:rPr>
        <w:t xml:space="preserve">1인 기업 제약 조건 하에서</w:t>
      </w: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6B7280"/>
          <w:sz w:val="22"/>
          <w:szCs w:val="22"/>
        </w:rPr>
        <w:t xml:space="preserve">글로벌 역량 평가 플랫폼으로 스케일하는 전략</w:t>
      </w:r>
    </w:p>
    <w:p>
      <w:pPr>
        <w:spacing w:after="0" w:before="20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/>
          <w:bCs/>
          <w:color w:val="312E81"/>
          <w:sz w:val="20"/>
          <w:szCs w:val="20"/>
        </w:rPr>
        <w:t xml:space="preserve">분석 프레임워크: </w:t>
      </w:r>
      <w:r>
        <w:rPr>
          <w:rFonts w:ascii="Noto Sans KR" w:cs="Noto Sans KR" w:eastAsia="Noto Sans KR" w:hAnsi="Noto Sans KR"/>
          <w:color w:val="6B7280"/>
          <w:sz w:val="20"/>
          <w:szCs w:val="20"/>
        </w:rPr>
        <w:t xml:space="preserve">TAM/SAM/SOM, Blue Ocean, 플라이휠, 린 캔버스, T2D3 성장 모델</w:t>
      </w:r>
    </w:p>
    <w:p>
      <w:pPr>
        <w:spacing w:after="0" w:before="60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9CA3AF"/>
          <w:sz w:val="18"/>
          <w:szCs w:val="18"/>
        </w:rPr>
        <w:t xml:space="preserve">LoginFuture Ministry | 2026.04 | 목표: 5.8 → 9/10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1. 현실 직시: 1,000억은 어떤 숫자인가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먼저 구조를 봐야 합니다. 감정이 아니라 숫자로 판단합니다.</w:t>
      </w:r>
    </w:p>
    <w:p>
      <w:pPr>
        <w:spacing w:after="0" w:before="2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1-1. 1,000억의 구조 분해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연매출 1,000억원 = 월매출 83.3억원. 현재 백서의 수익 모델(월 543만원)과는 15,000배 차이입니다. 이 격차를 메우려면 "검사 사이트"가 아니라 "플랫폼 비즈니스"로 재설계해야 합니다.</w:t>
      </w:r>
    </w:p>
    <w:p>
      <w:pPr>
        <w:spacing w:after="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경로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필요 조건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현실성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6"/>
                <w:szCs w:val="16"/>
              </w:rPr>
              <w:t xml:space="preserve">B2C 개인 유료 100%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월 9,900원 × 84만 유료 구독자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6"/>
                <w:szCs w:val="16"/>
              </w:rPr>
              <w:t xml:space="preserve">매우 어려움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6"/>
                <w:szCs w:val="16"/>
              </w:rPr>
              <w:t xml:space="preserve">B2B 기업/기관 100%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연 1억원 × 1,000개 기관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6"/>
                <w:szCs w:val="16"/>
              </w:rPr>
              <w:t xml:space="preserve">가능하나 영업 필요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6"/>
                <w:szCs w:val="16"/>
              </w:rPr>
              <w:t xml:space="preserve">혼합 + 플랫폼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B2C 200억 + B2B 300억 + API/화이트라벨 500억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6"/>
                <w:szCs w:val="16"/>
              </w:rPr>
              <w:t xml:space="preserve">최적 경로 ★</w:t>
            </w:r>
          </w:p>
        </w:tc>
      </w:tr>
    </w:tbl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1-2. 글로벌 시장 규모 (TAM/SAM/SOM)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백서 새 챕터 "시장 기회" 섹션으로 추가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[추가]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아래 전체를 백서 3장 뒤에 새 챕터로 삽입</w:t>
      </w:r>
    </w:p>
    <w:p>
      <w:pPr>
        <w:spacing w:after="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정의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규모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근거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TAM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글로벌 인재 평가 시장 전체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6"/>
                <w:szCs w:val="16"/>
              </w:rPr>
              <w:t xml:space="preserve">약 38조원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USD 29.4B, 2025 (Market Reports World)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SAM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B2C 역량 검사 + 에듀테크 진로 시장 (한국+글로벌 영어권)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6"/>
                <w:szCs w:val="16"/>
              </w:rPr>
              <w:t xml:space="preserve">약 2조원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한국 에듀테크 10조의 20% + 글로벌 심리검사 7.5조의 5%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SOM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5년 내 현실적 점유 가능 시장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6"/>
                <w:szCs w:val="16"/>
              </w:rPr>
              <w:t xml:space="preserve">약 1,000억원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SAM의 5% 점유 = 1,000억 (SOM 목표)</w:t>
            </w:r>
          </w:p>
        </w:tc>
      </w:tr>
    </w:tbl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결론: 1,000억은 글로벌 시장에서 SAM의 5%를 점유하는 것입니다. 한국 시장만으로는 불가능하며, 영어권 확장이 필수입니다.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2. 수익 모델 재설계: 5개 레이어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백서 2장 비즈니스 모델 섹션 전면 교체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1인 기업의 핵심 전략: 직접 노동이 아니라 시스템이 돈을 벌게 합니다.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560"/>
        <w:gridCol w:w="1200"/>
        <w:gridCol w:w="18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레이어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상품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가격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연매출 목표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비중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1인 운영 방법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L1
무료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역량 탐색 (검사 사이트)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0원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0원
(유입 엔진)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자동화 (HTML)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L2
B2C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심층 리포트 PDF + BTS Pro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3,900~9,900원/건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50억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5%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Stripe 결제 자동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L3
B2B SaaS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기관용 대시보드 + API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300~3,000만원/년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200억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20%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셀프서브 + 챗봇 세일즈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L4
API/화이트라벨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역량 검사 엔진 라이선스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건당 100~500원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300억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API 자동 과금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L5
글로벌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영어/일본어 다국어 확장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동일 가격 체계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450억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45%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i18n + 현지 파트너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합계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1,000억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DC2626"/>
          <w:sz w:val="22"/>
          <w:szCs w:val="22"/>
        </w:rPr>
        <w:t xml:space="preserve">핵심 인사이트: </w:t>
      </w:r>
      <w:r>
        <w:rPr>
          <w:rFonts w:ascii="Noto Sans KR" w:cs="Noto Sans KR" w:eastAsia="Noto Sans KR" w:hAnsi="Noto Sans KR"/>
          <w:color w:val="374151"/>
          <w:sz w:val="22"/>
          <w:szCs w:val="22"/>
        </w:rPr>
        <w:t xml:space="preserve">L4(API/화이트라벨)와 L5(글로벌)가 매출의 75%를 차지합니다. 검사 사이트 자체가 아니라, 검사 엔진을 다른 플랫폼에 공급하는 것이 1,000억의 핵심 경로입니다. 1인 기업이 1,000억을 달성한 사례(ConvertKit $25M, Calendly $276M)는 모두 "다른 시스템에 내장되는 인프라"를 만들었습니다.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3. 플라이휠 모델: 성장 엔진 설계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백서 6장 BTS 생태계 연동 전략 전면 교체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아마존의 성공 비결은 플라이휠입니다. BTS도 자기강화 순환 구조가 필요합니다:</w:t>
      </w:r>
    </w:p>
    <w:p>
      <w:pPr>
        <w:spacing w:after="0" w:before="2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/>
          <w:bCs/>
          <w:color w:val="6C63FF"/>
          <w:sz w:val="22"/>
          <w:szCs w:val="22"/>
        </w:rPr>
        <w:t xml:space="preserve">[무료 검사 → 사용자 데이터 축적 → 검사 정확도 향상 → 입소문 증가 → 더 많은 사용자 → 기관 수요 발생 → B2B 매출 → 검사 엔진 고도화 → API 공급 → 글로벌 확장 → 다시 무료 검사 유입 증가]</w:t>
      </w:r>
    </w:p>
    <w:p>
      <w:pPr>
        <w:spacing w:after="0" w:before="40"/>
      </w:pP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이 플라이휠의 핵심 동력: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데이터 → 정확도: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사용자가 많아질수록 문항 타당도 검증 데이터가 쌓입니다. 1,000명 → mean inter-item correlation 검증, 10,000명 → Cronbach α 검증, 100,000명 → IRT 기반 적응형 검사 전환. 데이터가 곧 경쟁 해자(moat)입니다.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정확도 → 신뢰: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검증된 데이터가 쌓이면 학술 논문 발표 → 교육부/고용부 공인 추진 → B2B 영업의 가장 강력한 자산이 됩니다.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B2B → API: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기관 고객이 100개를 넘으면, "직접 통합하고 싶다"는 수요가 발생합니다. API/화이트라벨은 요청이 만들어내는 시장입니다.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글로벌 → 규모: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영어권 확장 시 TAM이 20배 커집니다. 한국 1,000억은 어렵지만, 글로벌 $70M(약 1,000억)은 SAM의 5%입니다.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4. T2D3 성장 로드맵: 5년 계획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백서 8장 로드맵 전면 교체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T2D3은 SaaS 업계의 표준 성장 공식입니다: 첫해 3배, 둘째해 3배, 셋째해부터 매년 2배. 초기 ARR $1M(13억)에서 시작하면 5년차에 $72M(약 1,000억)에 도달합니다.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1440"/>
        <w:gridCol w:w="1080"/>
        <w:gridCol w:w="1440"/>
        <w:gridCol w:w="2880"/>
      </w:tblGrid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연차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목표 매출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성장률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핵심 레이어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유료 사용자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핵심 마일스톤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Y0
(현재)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0원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—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L1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0명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MVP 출시, 무료 검사 10,000건 달성, 타당도 1차 검증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Y1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13억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기반 구축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L1+L2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1.1만명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심층 리포트 출시, BTS Pro 출시, 카카오톡 바이럴 실험, 월 MAU 5만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Y2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40억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×3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L2+L3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3.3만명
+30기관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B2B SaaS 출시, 교육기관 30개 계약, 영어 베타, 검사 16문항 확장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Y3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120억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×3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L3+L4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10만명
+100기관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API 출시, 화이트라벨 10개사, 일본어 출시, 학술 논문 발표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Y4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360억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×3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L4+L5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30만명
+300기관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글로벌 파트너 50개, 적응형(IRT) 검사 전환, 시리즈A 검토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Y5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1,000억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×2.8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전체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100만명
+1,000기관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API 거래 월 1,000만건, 글로벌 15개국, 교육부 공인 추진</w:t>
            </w:r>
          </w:p>
        </w:tc>
      </w:tr>
    </w:tbl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5. 1인 기업 제약 하의 실행 전략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백서 새 챕터로 추가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1인 기업으로 1,000억을 달성하려면 "모든 것을 자동화"하고 "레버리지를 극대화"해야 합니다.</w:t>
      </w:r>
    </w:p>
    <w:p>
      <w:pPr>
        <w:spacing w:after="0" w:before="2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5-1. AI 자동화 스택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[추가]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아래 전체를 백서에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업무 영역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자동화 방법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예상 절감 시간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고객 지원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Claude AI 챗봇 + FAQ 자동 응답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주 20시간 → 2시간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B2B 세일즈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셀프서브 대시보드 + 자동 온보딩 가이드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주 15시간 → 3시간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콘텐츠 마케팅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Claude API로 블로그/SEO 콘텐츠 초안 자동 생성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주 10시간 → 2시간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결제/정산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Stripe + 자동 인보이스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주 5시간 → 0시간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검사 엔진 운영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서버리스(Vercel/Cloudflare) + 자동 스케일링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주 10시간 → 1시간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데이터 분석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자동 대시보드(Mixpanel) + 주간 리포트 자동 생성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주 8시간 → 1시간</w:t>
            </w:r>
          </w:p>
        </w:tc>
      </w:tr>
    </w:tbl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059669"/>
          <w:sz w:val="22"/>
          <w:szCs w:val="22"/>
        </w:rPr>
        <w:t xml:space="preserve">핵심: </w:t>
      </w:r>
      <w:r>
        <w:rPr>
          <w:rFonts w:ascii="Noto Sans KR" w:cs="Noto Sans KR" w:eastAsia="Noto Sans KR" w:hAnsi="Noto Sans KR"/>
          <w:color w:val="374151"/>
          <w:sz w:val="22"/>
          <w:szCs w:val="22"/>
        </w:rPr>
        <w:t xml:space="preserve">1인이 주 68시간 일해야 할 것을 9시간으로 줄입니다. 나머지 시간은 전략적 의사결정과 파트너십에 집중합니다.</w:t>
      </w: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5-2. 외부 레버리지 전략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채용 없이 팀 구성: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프리랜서 디자이너(1명, 월정액), 해외 현지화 파트너(국가별 1명, 수익 분배), Claude Code로 개발 자동화. 고정비 최소화.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파트너십 레버리지: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교육기관과 직접 계약 대신, 이미 교육기관에 팔고 있는 ERP/LMS 업체에 API를 공급합니다. 1개 파트너 = 100개 기관 자동 접근.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커뮤니티 레버리지: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결과를 공유한 사용자가 자발적 마케터가 됩니다. 16Personalities가 연간 마케팅비 0원으로 월 수천만 방문을 달성한 구조를 복제합니다.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6. Blue Ocean 전략 캔버스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백서 4장 경쟁사 비교 섹션 뒤에 추가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경쟁하지 않고, 새로운 시장을 만듭니다: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요소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제거
(Eliminate)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줄이기
(Reduce)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높이기
(Raise)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창조
(Create)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vs 16Personalities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성격 분류 라벨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문항 수 (60→8)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실용적 행동 제안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AI 직업 분석 연동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vs Pymetrics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B2B 전용 모델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검사 시간 (25→3분)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개인 직접 접근성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미래 경쟁력 프레임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vs 워크넷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관료적 인터페이스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복잡한 절차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모바일 UX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역량×직업 교차 분석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7. 린 캔버스 (1페이지 사업 모델)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백서 Executive Summary 뒤에 추가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문제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솔루션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핵심 지표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고유 가치 제안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경쟁 우위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AI 시대 역량 불안은 높지만 개인이 측정할 도구가 없음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3분 무료 행동기반 역량 탐색 + AI 직업 분석 교차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검사 완료율, BTS 전환율, API 호출 수, MRR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"나의 역량 × 나의 직업" 종합 리포트를 3분 만에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데이터 축적 → 정확도 향상 (네트워크 효과)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채널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고객 세그먼트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비용 구조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수익원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불공정 우위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카카오톡 바이럴, 네이버 SEO, 교육기관 파트너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취준생, 직장인, 학부모, 교육기관, HR부서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서버 월 5만 + API 월 3만 + 프리랜서 월 200만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심층리포트, B2B SaaS, API/화이트라벨, 글로벌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6차원 역량×직업 교차 데이터셋 (경쟁사 복제 불가)</w:t>
            </w:r>
          </w:p>
        </w:tc>
      </w:tr>
    </w:tbl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8. 법적 리스크 및 개인정보 보호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백서 7장 뒤에 새 섹션으로 추가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한국 개인정보보호법 제23조에 따르면 심리적 특성 관련 정보는 건강정보로 분류될 수 있으며, 이는 민감정보에 해당합니다. 다음 4가지 조치를 백서에 명시해야 합니다:</w:t>
      </w:r>
    </w:p>
    <w:p>
      <w:pPr>
        <w:spacing w:after="0" w:before="10"/>
      </w:pP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서버 미저장 원칙: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"검사 사이트는 사용자 응답 데이터를 서버에 저장하지 않습니다. 모든 검사는 브라우저 내에서만 처리되며, 페이지를 닫으면 데이터가 사라집니다." — 이 설계가 민감정보 문제를 원천적으로 회피합니다.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URL 파라미터 암호화: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"BTS로 전달 시 평문 점수 대신 Base64 인코딩된 토큰 사용. 예: ?t=eyJzIjp7InN0Ijo4NX19 — 서버 로그에 개인 역량 점수가 평문으로 기록되는 것을 방지."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면책 조항 명시: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"결과 화면 하단에: '본 검사는 자기인식 탐색 도구이며, 임상적 진단이나 채용 평가의 목적으로 사용될 수 없습니다. 결과는 참고 자료이며, 전문적 진로 상담을 대체하지 않습니다.'"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표현 수정: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"'검증된 프레임워크' → '검증된 학술 프레임워크 기반 설계'. 프레임워크가 검증된 것이지, 이 도구 자체가 검증된 것이 아니므로 명확히 구분."</w:t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9. 과학적 타당성 로드맵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백서 4장 뒤에 새 섹션으로 추가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"측정" → "탐색"으로 포지셔닝을 전환하되, 동시에 타당성을 쌓아가는 로드맵이 필요합니다:</w:t>
      </w:r>
    </w:p>
    <w:p>
      <w:pPr>
        <w:spacing w:after="0" w:before="10"/>
      </w:pP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Phase 0 (출시):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전체 백서에서 "측정" → "탐색"으로 용어 교체 (6개소). 면책 조항 추가.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Phase 1 (3개월, 1,000명):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문항별 변별력 분석 + 평균 문항간 상관(mean inter-item correlation) 0.2~0.4 목표 검증. 심리측정학에서 문항 10개 미만일 때 Cronbach α보다 이 지표가 더 적합합니다(PMC, UVA Library).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Phase 2 (6개월, 10,000명):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문항 확장 8→16문항. Cronbach α ≥ 0.7 목표. 탐색적 요인분석(EFA)으로 6차원 구조 확인.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Phase 3 (12개월, 100,000명):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IRT(문항반응이론) 기반 적응형 검사 전환. 학술 논문 발표 (한국심리학회지 등). "탐색" → "진단"으로 포지셔닝 업그레이드 가능.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Phase 4 (24개월): </w:t>
      </w:r>
      <w:r>
        <w:rPr>
          <w:rFonts w:ascii="Noto Sans KR" w:cs="Noto Sans KR" w:eastAsia="Noto Sans KR" w:hAnsi="Noto Sans KR"/>
          <w:color w:val="059679"/>
          <w:sz w:val="20"/>
          <w:szCs w:val="20"/>
        </w:rPr>
        <w:t xml:space="preserve">검사-재검사 신뢰도 + 외부 기준 타당도 검증. 교육부/고용부 공인 검사 추진. 이 시점에서 B2B 가격을 2-3배 올릴 수 있습니다.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종합: 보강 후 예상 점수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차원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현재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1차 보강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2차 보강 (본 문서)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핵심 추가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과학적 타당성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8"/>
                <w:szCs w:val="18"/>
              </w:rPr>
              <w:t xml:space="preserve">4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8"/>
                <w:szCs w:val="18"/>
              </w:rPr>
              <w:t xml:space="preserve">8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8"/>
                <w:szCs w:val="18"/>
              </w:rPr>
              <w:t xml:space="preserve">9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타당화 로드맵 4단계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비즈니스 모델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8"/>
                <w:szCs w:val="18"/>
              </w:rPr>
              <w:t xml:space="preserve">3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8"/>
                <w:szCs w:val="18"/>
              </w:rPr>
              <w:t xml:space="preserve">8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8"/>
                <w:szCs w:val="18"/>
              </w:rPr>
              <w:t xml:space="preserve">9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5레이어 수익모델+시뮬레이션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시장 검증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8"/>
                <w:szCs w:val="18"/>
              </w:rPr>
              <w:t xml:space="preserve">4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8"/>
                <w:szCs w:val="18"/>
              </w:rPr>
              <w:t xml:space="preserve">8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8"/>
                <w:szCs w:val="18"/>
              </w:rPr>
              <w:t xml:space="preserve">9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TAM/SAM/SOM + 경쟁공백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퍼널 설계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8"/>
                <w:szCs w:val="18"/>
              </w:rPr>
              <w:t xml:space="preserve">6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8"/>
                <w:szCs w:val="18"/>
              </w:rPr>
              <w:t xml:space="preserve">9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8"/>
                <w:szCs w:val="18"/>
              </w:rPr>
              <w:t xml:space="preserve">9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플라이휠 자기강화 구조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경쟁 분석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8"/>
                <w:szCs w:val="18"/>
              </w:rPr>
              <w:t xml:space="preserve">5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8"/>
                <w:szCs w:val="18"/>
              </w:rPr>
              <w:t xml:space="preserve">8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8"/>
                <w:szCs w:val="18"/>
              </w:rPr>
              <w:t xml:space="preserve">9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Blue Ocean 4-Action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기술 설계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8"/>
                <w:szCs w:val="18"/>
              </w:rPr>
              <w:t xml:space="preserve">7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8"/>
                <w:szCs w:val="18"/>
              </w:rPr>
              <w:t xml:space="preserve">9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8"/>
                <w:szCs w:val="18"/>
              </w:rPr>
              <w:t xml:space="preserve">9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자동화 스택 + 이벤트 설계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KPI 현실성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8"/>
                <w:szCs w:val="18"/>
              </w:rPr>
              <w:t xml:space="preserve">5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8"/>
                <w:szCs w:val="18"/>
              </w:rPr>
              <w:t xml:space="preserve">8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8"/>
                <w:szCs w:val="18"/>
              </w:rPr>
              <w:t xml:space="preserve">9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T2D3 + 3시나리오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법적 리스크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8"/>
                <w:szCs w:val="18"/>
              </w:rPr>
              <w:t xml:space="preserve">3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8"/>
                <w:szCs w:val="18"/>
              </w:rPr>
              <w:t xml:space="preserve">8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8"/>
                <w:szCs w:val="18"/>
              </w:rPr>
              <w:t xml:space="preserve">9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개보법 대응 4조치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평균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5.8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8.3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0"/>
                <w:szCs w:val="20"/>
              </w:rPr>
              <w:t xml:space="preserve">9.0</w:t>
            </w:r>
          </w:p>
        </w:tc>
        <w:tc>
          <w:tcPr>
            <w:tcW w:type="dxa" w:w="16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i/>
          <w:iCs/>
          <w:color w:val="6C63FF"/>
          <w:sz w:val="22"/>
          <w:szCs w:val="22"/>
        </w:rPr>
        <w:t xml:space="preserve">"우리는 현상을 소비하는 사람이 아니라, 구조를 재설계하는 사람이다."</w:t>
      </w: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9CA3AF"/>
          <w:sz w:val="20"/>
          <w:szCs w:val="20"/>
        </w:rPr>
        <w:t xml:space="preserve">1,000억은 숫자가 아니라 구조입니다. 구조가 맞으면 숫자는 따라옵니다.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DC2626"/>
        <w:sz w:val="16"/>
        <w:szCs w:val="16"/>
      </w:rPr>
      <w:t xml:space="preserve">RED TEAM — BTS 1,000억 전략 보강안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13"/>
    <w:lvlOverride w:ilvl="0">
      <w:startOverride w:val="1"/>
    </w:lvlOverride>
  </w:num>
  <w:num w:numId="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Noto Sans KR" w:cs="Noto Sans KR" w:eastAsia="Noto Sans KR" w:hAnsi="Noto Sans KR"/>
      <w:b/>
      <w:bCs/>
      <w:color w:val="1E1B4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Noto Sans KR" w:cs="Noto Sans KR" w:eastAsia="Noto Sans KR" w:hAnsi="Noto Sans KR"/>
      <w:b/>
      <w:bCs/>
      <w:color w:val="312E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KR" w:cs="Noto Sans KR" w:eastAsia="Noto Sans KR" w:hAnsi="Noto Sans KR"/>
      <w:b/>
      <w:bCs/>
      <w:color w:val="4338C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2026-04-14T23:53:53.808Z</dcterms:created>
  <dcterms:modified xsi:type="dcterms:W3CDTF">2026-04-14T23:53:53.809Z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