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GableLBM Architecture — Auto-Refreshed Inventory</w:t>
      </w:r>
    </w:p>
    <w:p>
      <w:pPr>
        <w:pStyle w:val="Normal"/>
      </w:pPr>
      <w:r>
        <w:t xml:space="preserve">&gt; </w:t>
      </w:r>
      <w:r>
        <w:rPr>
          <w:b/>
        </w:rPr>
        <w:t xml:space="preserve">Generated:</w:t>
      </w:r>
      <w:r>
        <w:t xml:space="preserve"> 2026-05-20 · Branch: </w:t>
      </w:r>
      <w:r>
        <w:rPr>
          <w:rFonts w:ascii="Courier New" w:hAnsi="Courier New"/>
          <w:sz w:val="18"/>
        </w:rPr>
        <w:t xml:space="preserve">feature/a20-internal-permissions</w:t>
      </w:r>
    </w:p>
    <w:p>
      <w:pPr>
        <w:pStyle w:val="Normal"/>
      </w:pPr>
      <w:r>
        <w:t xml:space="preserve">&gt; </w:t>
      </w:r>
      <w:r>
        <w:rPr>
          <w:b/>
        </w:rPr>
        <w:t xml:space="preserve">Scanner:</w:t>
      </w:r>
      <w:r>
        <w:t xml:space="preserve"> wiki-refresh workflow · Do not edit by hand — re-run </w:t>
      </w:r>
      <w:r>
        <w:rPr>
          <w:rFonts w:ascii="Courier New" w:hAnsi="Courier New"/>
          <w:sz w:val="18"/>
        </w:rPr>
        <w:t xml:space="preserve">/wiki-refresh</w:t>
      </w:r>
      <w:r>
        <w:t xml:space="preserve"> to update.</w:t>
      </w:r>
    </w:p>
    <w:p/>
    <w:p>
      <w:pPr>
        <w:pBdr>
          <w:bottom w:val="single" w:sz="6" w:color="333344"/>
        </w:pBdr>
      </w:pPr>
    </w:p>
    <w:p/>
    <w:p>
      <w:pPr>
        <w:pStyle w:val="Heading2"/>
      </w:pPr>
      <w:r>
        <w:t xml:space="preserve">1. System Principles</w:t>
      </w:r>
    </w:p>
    <w:p/>
    <w:tbl>
      <w:tblPr>
        <w:tblW w:w="0" w:type="auto"/>
      </w:tblPr>
      <w:tr>
        <w:trPr>
          <w:tblHeader/>
        </w:trPr>
        <w:tc>
          <w:tcPr>
            <w:tcW w:w="0" w:type="auto"/>
          </w:tcPr>
          <w:p>
            <w:pPr>
              <w:pStyle w:val="TableHeader"/>
            </w:pPr>
            <w:r>
              <w:t xml:space="preserve">Principle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Detail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b/>
              </w:rPr>
              <w:t xml:space="preserve">Modular Monolith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Single deployment binary; internally strictly decoupled packages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b/>
              </w:rPr>
              <w:t xml:space="preserve">Zero-Trust Modules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Modules never access another module's database tables directly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b/>
              </w:rPr>
              <w:t xml:space="preserve">Interface-Driven Interop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All cross-module calls go through Go interface contracts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b/>
              </w:rPr>
              <w:t xml:space="preserve">Event-Driven Side Effects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Write side-effects flow via NATS JetStream subjects (aspirational; see §4)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b/>
              </w:rPr>
              <w:t xml:space="preserve">Light DOM Frontend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All Lit 3 components use </w:t>
            </w:r>
            <w:r>
              <w:rPr>
                <w:rFonts w:ascii="Courier New" w:hAnsi="Courier New"/>
                <w:sz w:val="18"/>
              </w:rPr>
              <w:t xml:space="preserve">createRenderRoot() { return this; }</w:t>
            </w:r>
            <w:r>
              <w:t xml:space="preserve"> for Tailwind class inheritance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b/>
              </w:rPr>
              <w:t xml:space="preserve">Federated Governance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Co-op partners can propose changes via the RFC / Governance portal</w:t>
            </w:r>
          </w:p>
        </w:tc>
      </w:tr>
    </w:tbl>
    <w:p/>
    <w:p>
      <w:pPr>
        <w:pBdr>
          <w:bottom w:val="single" w:sz="6" w:color="333344"/>
        </w:pBdr>
      </w:pPr>
    </w:p>
    <w:p/>
    <w:p>
      <w:pPr>
        <w:pStyle w:val="Heading2"/>
      </w:pPr>
      <w:r>
        <w:t xml:space="preserve">2. Technology Stack</w:t>
      </w:r>
    </w:p>
    <w:p/>
    <w:p>
      <w:pPr>
        <w:pStyle w:val="Heading3"/>
      </w:pPr>
      <w:r>
        <w:t xml:space="preserve">Backend</w:t>
      </w:r>
    </w:p>
    <w:tbl>
      <w:tblPr>
        <w:tblW w:w="0" w:type="auto"/>
      </w:tblPr>
      <w:tr>
        <w:trPr>
          <w:tblHeader/>
        </w:trPr>
        <w:tc>
          <w:tcPr>
            <w:tcW w:w="0" w:type="auto"/>
          </w:tcPr>
          <w:p>
            <w:pPr>
              <w:pStyle w:val="TableHeader"/>
            </w:pPr>
            <w:r>
              <w:t xml:space="preserve">Layer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Technology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Version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Notes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Language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Go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1.25+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go.mod</w:t>
            </w:r>
            <w:r>
              <w:t xml:space="preserve"> constraint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HTTP Router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Chi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v5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Middleware-first; all routes at </w:t>
            </w:r>
            <w:r>
              <w:rPr>
                <w:rFonts w:ascii="Courier New" w:hAnsi="Courier New"/>
                <w:sz w:val="18"/>
              </w:rPr>
              <w:t xml:space="preserve">/api/v1/*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Database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PostgreSQL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16+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Extensions: </w:t>
            </w:r>
            <w:r>
              <w:rPr>
                <w:rFonts w:ascii="Courier New" w:hAnsi="Courier New"/>
                <w:sz w:val="18"/>
              </w:rPr>
              <w:t xml:space="preserve">pgvector</w:t>
            </w:r>
            <w:r>
              <w:t xml:space="preserve"> (AI), </w:t>
            </w:r>
            <w:r>
              <w:rPr>
                <w:rFonts w:ascii="Courier New" w:hAnsi="Courier New"/>
                <w:sz w:val="18"/>
              </w:rPr>
              <w:t xml:space="preserve">postgis</w:t>
            </w:r>
            <w:r>
              <w:t xml:space="preserve"> (GIS/delivery)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DB Driver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pgx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v5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database/sql</w:t>
            </w:r>
            <w:r>
              <w:t xml:space="preserve">-compatible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Messaging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NATS JetStream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embedded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Container in </w:t>
            </w:r>
            <w:r>
              <w:rPr>
                <w:rFonts w:ascii="Courier New" w:hAnsi="Courier New"/>
                <w:sz w:val="18"/>
              </w:rPr>
              <w:t xml:space="preserve">docker-compose.yml</w:t>
            </w:r>
            <w:r>
              <w:t xml:space="preserve">; </w:t>
            </w:r>
            <w:r>
              <w:rPr>
                <w:b/>
              </w:rPr>
              <w:t xml:space="preserve">not yet wired in Go code</w:t>
            </w:r>
            <w:r>
              <w:t xml:space="preserve"> — all inter-module writes are synchronous Go interface calls; NATS sections in this doc are forward-looking design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Auth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JWT + JWKS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—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Keycloak-compatible; </w:t>
            </w:r>
            <w:r>
              <w:rPr>
                <w:rFonts w:ascii="Courier New" w:hAnsi="Courier New"/>
                <w:sz w:val="18"/>
              </w:rPr>
              <w:t xml:space="preserve">godotenv</w:t>
            </w:r>
            <w:r>
              <w:t xml:space="preserve"> config fallback</w:t>
            </w:r>
          </w:p>
        </w:tc>
      </w:tr>
    </w:tbl>
    <w:p/>
    <w:p>
      <w:pPr>
        <w:pStyle w:val="Heading3"/>
      </w:pPr>
      <w:r>
        <w:t xml:space="preserve">Frontend</w:t>
      </w:r>
    </w:p>
    <w:tbl>
      <w:tblPr>
        <w:tblW w:w="0" w:type="auto"/>
      </w:tblPr>
      <w:tr>
        <w:trPr>
          <w:tblHeader/>
        </w:trPr>
        <w:tc>
          <w:tcPr>
            <w:tcW w:w="0" w:type="auto"/>
          </w:tcPr>
          <w:p>
            <w:pPr>
              <w:pStyle w:val="TableHeader"/>
            </w:pPr>
            <w:r>
              <w:t xml:space="preserve">Layer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Technology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Version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Notes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Component Framework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Lit 3 Web Components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3.x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Light DOM mandatory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Language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TypeScript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5.9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Strict mode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Bundler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Vite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7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Dev server + production build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Styling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Tailwind CSS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3.4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Design tokens; no Shadcn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Charts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Chart.js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4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Revenue trend, order status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Maps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Leaflet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—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Route / delivery maps</w:t>
            </w:r>
          </w:p>
        </w:tc>
      </w:tr>
    </w:tbl>
    <w:p/>
    <w:p>
      <w:pPr>
        <w:pStyle w:val="Heading3"/>
      </w:pPr>
      <w:r>
        <w:t xml:space="preserve">Infrastructure (Non-Production)</w:t>
      </w:r>
    </w:p>
    <w:tbl>
      <w:tblPr>
        <w:tblW w:w="0" w:type="auto"/>
      </w:tblPr>
      <w:tr>
        <w:trPr>
          <w:tblHeader/>
        </w:trPr>
        <w:tc>
          <w:tcPr>
            <w:tcW w:w="0" w:type="auto"/>
          </w:tcPr>
          <w:p>
            <w:pPr>
              <w:pStyle w:val="TableHeader"/>
            </w:pPr>
            <w:r>
              <w:t xml:space="preserve">Environment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Host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Branch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URL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Logical DB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Demo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Digital Ocean App Platform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community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https://demo.gablelbm.com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gable_demo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Staging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Digital Ocean App Platform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staging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https://staging.gablelbm.com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gable_staging</w:t>
            </w:r>
          </w:p>
        </w:tc>
      </w:tr>
    </w:tbl>
    <w:p/>
    <w:p>
      <w:pPr>
        <w:pStyle w:val="Normal"/>
      </w:pPr>
      <w:r>
        <w:t xml:space="preserve">Production (</w:t>
      </w:r>
      <w:r>
        <w:rPr>
          <w:rFonts w:ascii="Courier New" w:hAnsi="Courier New"/>
          <w:sz w:val="18"/>
        </w:rPr>
        <w:t xml:space="preserve">master</w:t>
      </w:r>
      <w:r>
        <w:t xml:space="preserve">) is not managed by this repository. App specs: </w:t>
      </w:r>
      <w:r>
        <w:rPr>
          <w:rFonts w:ascii="Courier New" w:hAnsi="Courier New"/>
          <w:sz w:val="18"/>
        </w:rPr>
        <w:t xml:space="preserve">.do/app-demo.yaml</w:t>
      </w:r>
      <w:r>
        <w:t xml:space="preserve">, </w:t>
      </w:r>
      <w:r>
        <w:rPr>
          <w:rFonts w:ascii="Courier New" w:hAnsi="Courier New"/>
          <w:sz w:val="18"/>
        </w:rPr>
        <w:t xml:space="preserve">.do/app-staging.yaml</w:t>
      </w:r>
      <w:r>
        <w:t xml:space="preserve">.</w:t>
      </w:r>
    </w:p>
    <w:p/>
    <w:p>
      <w:pPr>
        <w:pBdr>
          <w:bottom w:val="single" w:sz="6" w:color="333344"/>
        </w:pBdr>
      </w:pPr>
    </w:p>
    <w:p/>
    <w:p>
      <w:pPr>
        <w:pStyle w:val="Heading2"/>
      </w:pPr>
      <w:r>
        <w:t xml:space="preserve">3. Backend Module Inventory</w:t>
      </w:r>
    </w:p>
    <w:p/>
    <w:p>
      <w:pPr>
        <w:pStyle w:val="Normal"/>
      </w:pPr>
      <w:r>
        <w:rPr>
          <w:b/>
        </w:rPr>
        <w:t xml:space="preserve">Total modules with HTTP handlers: 35</w:t>
      </w:r>
      <w:r>
        <w:t xml:space="preserve"> · </w:t>
      </w:r>
      <w:r>
        <w:rPr>
          <w:b/>
        </w:rPr>
        <w:t xml:space="preserve">Total migrations: 81</w:t>
      </w:r>
    </w:p>
    <w:p/>
    <w:tbl>
      <w:tblPr>
        <w:tblW w:w="0" w:type="auto"/>
      </w:tblPr>
      <w:tr>
        <w:trPr>
          <w:tblHeader/>
        </w:trPr>
        <w:tc>
          <w:tcPr>
            <w:tcW w:w="0" w:type="auto"/>
          </w:tcPr>
          <w:p>
            <w:pPr>
              <w:pStyle w:val="TableHeader"/>
            </w:pPr>
            <w:r>
              <w:t xml:space="preserve">Module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Package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Handler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Responsibility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Account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internal/account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✅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Customer accounts, credit limits, account rules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AI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internal/ai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—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AI orchestration, embedding pipelines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Accounts Payable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internal/ap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✅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Vendor invoices, AP workflows, remittance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Bank Reconciliation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internal/bankrecon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✅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Bank statement import, reconciliation matching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Config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internal/config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—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Environment config, feature flags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Configurator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internal/configurator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✅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Millwork door/product configurator rules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CRM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internal/crm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✅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Activity logging, contact management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Customer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internal/customer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✅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Customer CRUD, branch access, statements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Dashboard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internal/dashboard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✅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KPIs, revenue trends, alert widgets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Delivery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internal/delivery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✅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Dispatch board, routes, driver app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Document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internal/document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✅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Document storage, lien notices, PDF generation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Domain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internal/domain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—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Shared domain types (no HTTP exposure)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EDI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internal/edi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—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Electronic data interchange adapters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General Ledger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internal/gl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✅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Double-entry GL, journal entries, fiscal periods, trial balance, financial statements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Governance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internal/governance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✅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RFC portal, AI governance engine, backlog orchestrator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Integrations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internal/integrations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✅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BisTrack, Spruce, DMSi sync adapters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Inventory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internal/inventory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✅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Stock quants, moves, cycle counts, UOM conversions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Invoice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internal/invoice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✅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AR invoices, payment terms, credit notes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Location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internal/location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✅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Branches, bins, staff roles + approval requests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Matching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internal/matching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✅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PO–invoice 3-way matching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Millwork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internal/millwork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✅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Millwork product configuration, cut lists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Notification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internal/notification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—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In-app and email notification dispatch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Order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internal/order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✅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Sales orders, line items, order lifecycle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Parsing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internal/parsing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✅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Material list OCR/AI parsing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Partner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internal/partner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✅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Co-op partner portal, federated catalog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Payment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internal/payment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✅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Payment processing, AR application, AR aging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PIM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internal/pim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✅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AI-powered product content, images, descriptions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Portal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internal/portal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✅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B2B dealer portal (ordering, team management)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POS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internal/pos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✅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Point-of-sale terminal, till management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Pricing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internal/pricing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✅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Price matrix, account rules, category tree, escalators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Product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internal/product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✅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Product catalog, SKUs, categories, hardscape model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Project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internal/project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✅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Project tracking, job costing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Purchase Order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internal/purchase_order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✅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PO creation, receiving, vendor management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Quote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internal/quote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✅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Quote builder, analytics, escalator rules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Reporting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internal/reporting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✅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Report builder, AR aging, saved reports, customer statements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Sales Team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internal/salesteam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✅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Sales team management, territory assignment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Tax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internal/tax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✅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HST/GST/PST tax codes, rates, CRA compliance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Tech Admin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internal/techadmin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✅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Platform admin, AI key management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Vendor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internal/vendor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✅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Vendor master, AP contacts, rebate programs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Vision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internal/vision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✅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Computer vision / barcode scanning</w:t>
            </w:r>
          </w:p>
        </w:tc>
      </w:tr>
    </w:tbl>
    <w:p/>
    <w:p>
      <w:pPr>
        <w:pBdr>
          <w:bottom w:val="single" w:sz="6" w:color="333344"/>
        </w:pBdr>
      </w:pPr>
    </w:p>
    <w:p/>
    <w:p>
      <w:pPr>
        <w:pStyle w:val="Heading2"/>
      </w:pPr>
      <w:r>
        <w:t xml:space="preserve">4. Inter-Module Communication</w:t>
      </w:r>
    </w:p>
    <w:p/>
    <w:p>
      <w:pPr>
        <w:pStyle w:val="Heading3"/>
      </w:pPr>
      <w:r>
        <w:t xml:space="preserve">4.1 Synchronous (Reads — Current)</w:t>
      </w:r>
    </w:p>
    <w:p>
      <w:pPr>
        <w:pStyle w:val="Normal"/>
      </w:pPr>
      <w:r>
        <w:t xml:space="preserve">Direct Go interface calls within the same process. No network hop.</w:t>
      </w:r>
    </w:p>
    <w:p/>
    <w:p>
      <w:pPr>
        <w:pStyle w:val="Code"/>
      </w:pPr>
      <w:r>
        <w:rPr>
          <w:rFonts w:ascii="Courier New" w:hAnsi="Courier New"/>
          <w:sz w:val="18"/>
        </w:rPr>
        <w:t xml:space="preserve">// Example: Sales checks stock availability</w:t>
      </w:r>
    </w:p>
    <w:p>
      <w:pPr>
        <w:pStyle w:val="Code"/>
      </w:pPr>
      <w:r>
        <w:rPr>
          <w:rFonts w:ascii="Courier New" w:hAnsi="Courier New"/>
          <w:sz w:val="18"/>
        </w:rPr>
        <w:t xml:space="preserve">inventoryService.GetAvailability(sku, locationID) // → AvailabilityResult</w:t>
      </w:r>
    </w:p>
    <w:p/>
    <w:p>
      <w:pPr>
        <w:pStyle w:val="Heading3"/>
      </w:pPr>
      <w:r>
        <w:t xml:space="preserve">4.2 Asynchronous (Writes — Forward-Looking)</w:t>
      </w:r>
    </w:p>
    <w:p>
      <w:pPr>
        <w:pStyle w:val="Normal"/>
      </w:pPr>
      <w:r>
        <w:t xml:space="preserve">NATS JetStream subjects. </w:t>
      </w:r>
      <w:r>
        <w:rPr>
          <w:b/>
        </w:rPr>
        <w:t xml:space="preserve">Not yet wired in production code.</w:t>
      </w:r>
      <w:r>
        <w:t xml:space="preserve"> Current implementation uses synchronous calls for all inter-module writes.</w:t>
      </w:r>
    </w:p>
    <w:p/>
    <w:tbl>
      <w:tblPr>
        <w:tblW w:w="0" w:type="auto"/>
      </w:tblPr>
      <w:tr>
        <w:trPr>
          <w:tblHeader/>
        </w:trPr>
        <w:tc>
          <w:tcPr>
            <w:tcW w:w="0" w:type="auto"/>
          </w:tcPr>
          <w:p>
            <w:pPr>
              <w:pStyle w:val="TableHeader"/>
            </w:pPr>
            <w:r>
              <w:t xml:space="preserve">Subject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Publisher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Subscribers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sales.order.confirmed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order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inventory (reserve stock), logistics (pick ticket), invoice (credit check)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ar.invoice.issued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invoice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gl (auto-post: DR AR / CR Revenue / CR HST)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ar.payment.received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payment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gl (auto-post: DR Cash / CR AR)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ap.vendor_invoice.approved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ap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gl (auto-post: DR Inventory / DR HST / CR AP)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ap.vendor_payment.issued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ap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gl (auto-post: DR AP / CR Cash)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pos.till.closed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pos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gl (auto-post: DR Cash+Card / CR Revenue / CR HST)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gl.period.reopen_requested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gl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notification (admin bell → period approval)</w:t>
            </w:r>
          </w:p>
        </w:tc>
      </w:tr>
    </w:tbl>
    <w:p/>
    <w:p>
      <w:pPr>
        <w:pBdr>
          <w:bottom w:val="single" w:sz="6" w:color="333344"/>
        </w:pBdr>
      </w:pPr>
    </w:p>
    <w:p/>
    <w:p>
      <w:pPr>
        <w:pStyle w:val="Heading2"/>
      </w:pPr>
      <w:r>
        <w:t xml:space="preserve">5. Database Schema Inventory</w:t>
      </w:r>
    </w:p>
    <w:p/>
    <w:p>
      <w:pPr>
        <w:pStyle w:val="Normal"/>
      </w:pPr>
      <w:r>
        <w:rPr>
          <w:b/>
        </w:rPr>
        <w:t xml:space="preserve">Total migrations applied: 81</w:t>
      </w:r>
      <w:r>
        <w:t xml:space="preserve"> (through </w:t>
      </w:r>
      <w:r>
        <w:rPr>
          <w:rFonts w:ascii="Courier New" w:hAnsi="Courier New"/>
          <w:sz w:val="18"/>
        </w:rPr>
        <w:t xml:space="preserve">079_staff_roles_and_approval_requests.sql</w:t>
      </w:r>
      <w:r>
        <w:t xml:space="preserve">)</w:t>
      </w:r>
    </w:p>
    <w:p/>
    <w:tbl>
      <w:tblPr>
        <w:tblW w:w="0" w:type="auto"/>
      </w:tblPr>
      <w:tr>
        <w:trPr>
          <w:tblHeader/>
        </w:trPr>
        <w:tc>
          <w:tcPr>
            <w:tcW w:w="0" w:type="auto"/>
          </w:tcPr>
          <w:p>
            <w:pPr>
              <w:pStyle w:val="TableHeader"/>
            </w:pPr>
            <w:r>
              <w:t xml:space="preserve">Migration Range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Area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Key Tables Added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001–020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Core foundation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products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uoms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locations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stock_quants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inventory_moves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customers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orders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invoices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payments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vendors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purchase_orders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021–040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Sales &amp; pricing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quotes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price_levels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pricing_rules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price_matrix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account_rules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delivery_routes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dispatch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041–060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Operations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pos_sessions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tills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barcode_scans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crm_activities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projects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lien_notices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061–070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Multi-branch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branch_users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orders.branch_id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quotes.branch_id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invoices.branch_id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po.branch_id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pos.branch_id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customers.branch_id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071–077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LBM expansion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hardscape_products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uom_expansion</w:t>
            </w:r>
            <w:r>
              <w:t xml:space="preserve"> (lineal ft, sq ft, bd ft, ton), </w:t>
            </w:r>
            <w:r>
              <w:rPr>
                <w:rFonts w:ascii="Courier New" w:hAnsi="Courier New"/>
                <w:sz w:val="18"/>
              </w:rPr>
              <w:t xml:space="preserve">hardscape_configurator_rules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bistrack_sync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075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Dibbits seed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Trenton + Kingston branch data, Dibbits product categories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025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General Ledger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gl_accounts</w:t>
            </w:r>
            <w:r>
              <w:t xml:space="preserve"> (COA seed: 16 LBM accounts), </w:t>
            </w:r>
            <w:r>
              <w:rPr>
                <w:rFonts w:ascii="Courier New" w:hAnsi="Courier New"/>
                <w:sz w:val="18"/>
              </w:rPr>
              <w:t xml:space="preserve">gl_fiscal_periods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gl_journal_entries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gl_journal_lines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078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Replenishment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replenishment_settings</w:t>
            </w:r>
            <w:r>
              <w:t xml:space="preserve"> (planned: GL gap closure — see A-01 execution plan)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079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Staff Roles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staff_roles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approval_requests</w:t>
            </w:r>
            <w:r>
              <w:t xml:space="preserve"> (A-20: internal permission model)</w:t>
            </w:r>
          </w:p>
        </w:tc>
      </w:tr>
    </w:tbl>
    <w:p/>
    <w:p>
      <w:pPr>
        <w:pStyle w:val="Normal"/>
      </w:pPr>
      <w:r>
        <w:t xml:space="preserve">&gt; </w:t>
      </w:r>
      <w:r>
        <w:rPr>
          <w:b/>
        </w:rPr>
        <w:t xml:space="preserve">Next migration:</w:t>
      </w:r>
      <w:r>
        <w:t xml:space="preserve"> </w:t>
      </w:r>
      <w:r>
        <w:rPr>
          <w:rFonts w:ascii="Courier New" w:hAnsi="Courier New"/>
          <w:sz w:val="18"/>
        </w:rPr>
        <w:t xml:space="preserve">078_gl_gap_closure.sql</w:t>
      </w:r>
      <w:r>
        <w:t xml:space="preserve"> — adds </w:t>
      </w:r>
      <w:r>
        <w:rPr>
          <w:rFonts w:ascii="Courier New" w:hAnsi="Courier New"/>
          <w:sz w:val="18"/>
        </w:rPr>
        <w:t xml:space="preserve">gl_period_overrides</w:t>
      </w:r>
      <w:r>
        <w:t xml:space="preserve">, </w:t>
      </w:r>
      <w:r>
        <w:rPr>
          <w:rFonts w:ascii="Courier New" w:hAnsi="Courier New"/>
          <w:sz w:val="18"/>
        </w:rPr>
        <w:t xml:space="preserve">gl_audit_log</w:t>
      </w:r>
      <w:r>
        <w:t xml:space="preserve">, covering index (per A-01 execution plan)</w:t>
      </w:r>
    </w:p>
    <w:p/>
    <w:p>
      <w:pPr>
        <w:pBdr>
          <w:bottom w:val="single" w:sz="6" w:color="333344"/>
        </w:pBdr>
      </w:pPr>
    </w:p>
    <w:p/>
    <w:p>
      <w:pPr>
        <w:pStyle w:val="Heading2"/>
      </w:pPr>
      <w:r>
        <w:t xml:space="preserve">6. API Surface</w:t>
      </w:r>
    </w:p>
    <w:p/>
    <w:p>
      <w:pPr>
        <w:pStyle w:val="Normal"/>
      </w:pPr>
      <w:r>
        <w:rPr>
          <w:b/>
        </w:rPr>
        <w:t xml:space="preserve">Base URL:</w:t>
      </w:r>
      <w:r>
        <w:t xml:space="preserve"> </w:t>
      </w:r>
      <w:r>
        <w:rPr>
          <w:rFonts w:ascii="Courier New" w:hAnsi="Courier New"/>
          <w:sz w:val="18"/>
        </w:rPr>
        <w:t xml:space="preserve">/api/v1/</w:t>
      </w:r>
    </w:p>
    <w:p>
      <w:pPr>
        <w:pStyle w:val="Normal"/>
      </w:pPr>
      <w:r>
        <w:rPr>
          <w:b/>
        </w:rPr>
        <w:t xml:space="preserve">Auth:</w:t>
      </w:r>
      <w:r>
        <w:t xml:space="preserve"> </w:t>
      </w:r>
      <w:r>
        <w:rPr>
          <w:rFonts w:ascii="Courier New" w:hAnsi="Courier New"/>
          <w:sz w:val="18"/>
        </w:rPr>
        <w:t xml:space="preserve">Authorization: Bearer &lt;JWT&gt;</w:t>
      </w:r>
      <w:r>
        <w:t xml:space="preserve"> (JWKS-validated)</w:t>
      </w:r>
    </w:p>
    <w:p>
      <w:pPr>
        <w:pStyle w:val="Normal"/>
      </w:pPr>
      <w:r>
        <w:rPr>
          <w:b/>
        </w:rPr>
        <w:t xml:space="preserve">Format:</w:t>
      </w:r>
      <w:r>
        <w:t xml:space="preserve"> JSON request/response; standard error envelope </w:t>
      </w:r>
      <w:r>
        <w:rPr>
          <w:rFonts w:ascii="Courier New" w:hAnsi="Courier New"/>
          <w:sz w:val="18"/>
        </w:rPr>
        <w:t xml:space="preserve">{ "error": { "code": "...", "message": "..." } }</w:t>
      </w:r>
    </w:p>
    <w:p/>
    <w:tbl>
      <w:tblPr>
        <w:tblW w:w="0" w:type="auto"/>
      </w:tblPr>
      <w:tr>
        <w:trPr>
          <w:tblHeader/>
        </w:trPr>
        <w:tc>
          <w:tcPr>
            <w:tcW w:w="0" w:type="auto"/>
          </w:tcPr>
          <w:p>
            <w:pPr>
              <w:pStyle w:val="TableHeader"/>
            </w:pPr>
            <w:r>
              <w:t xml:space="preserve">Module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Route Prefix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Notable Endpoints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Account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/accounts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CRUD, credit limit, rules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AP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/ap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Vendor invoices, payment runs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Bank Recon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/bankrecon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Statement upload, match, reconcile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Configurator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/configurator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Product configuration rules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CRM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/crm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Activity log, contact timeline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Customer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/customers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CRUD, statement, branch access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Dashboard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/dashboard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KPIs, revenue trend, alerts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Delivery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/delivery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Routes, dispatch board, driver app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General Ledger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/gl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Accounts, journal entries, fiscal periods, trial balance, balance sheet, P&amp;L, audit log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Governance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/governance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RFCs, voting, backlog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Integrations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/integrations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BisTrack/Spruce/DMSi sync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Inventory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/inventory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Stock, moves, cycle counts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Invoice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/invoices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AR invoices, credit notes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Location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/locations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Branches, bins, staff roles, approvals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Matching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/matching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3-way PO match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Millwork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/millwork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Millwork config, cut lists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Order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/orders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Sales order lifecycle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Parsing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/parsing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Material list AI parse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Partner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/partner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Federated catalog, co-op portal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Payment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/payments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AR payment application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PIM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/pim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AI product content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Portal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/portal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B2B ordering, team, cart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POS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/pos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Terminal, till session, closeout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Pricing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/pricing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Matrix, rules, category tree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Product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/products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Catalog, SKU, hardscape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Project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/projects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Job tracking, costing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Purchase Order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/purchase-orders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PO lifecycle, receiving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Quote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/quotes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Builder, analytics, escalators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Reporting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/reports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AR aging, report builder, statements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Sales Team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/salesteam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Team management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Tax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/tax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HST/GST codes, CRA compliance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Tech Admin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/techadmin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AI keys, platform config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Vendor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/vendors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Vendor master, rebates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Vision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/vision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Barcode scan, computer vision</w:t>
            </w:r>
          </w:p>
        </w:tc>
      </w:tr>
    </w:tbl>
    <w:p/>
    <w:p>
      <w:pPr>
        <w:pBdr>
          <w:bottom w:val="single" w:sz="6" w:color="333344"/>
        </w:pBdr>
      </w:pPr>
    </w:p>
    <w:p/>
    <w:p>
      <w:pPr>
        <w:pStyle w:val="Heading2"/>
      </w:pPr>
      <w:r>
        <w:t xml:space="preserve">7. Frontend Architecture</w:t>
      </w:r>
    </w:p>
    <w:p/>
    <w:p>
      <w:pPr>
        <w:pStyle w:val="Normal"/>
      </w:pPr>
      <w:r>
        <w:rPr>
          <w:b/>
        </w:rPr>
        <w:t xml:space="preserve">Total TypeScript files: 210</w:t>
      </w:r>
      <w:r>
        <w:t xml:space="preserve"> · </w:t>
      </w:r>
      <w:r>
        <w:rPr>
          <w:b/>
        </w:rPr>
        <w:t xml:space="preserve">Pages: 68</w:t>
      </w:r>
      <w:r>
        <w:t xml:space="preserve"> · </w:t>
      </w:r>
      <w:r>
        <w:rPr>
          <w:b/>
        </w:rPr>
        <w:t xml:space="preserve">Components: 42+</w:t>
      </w:r>
    </w:p>
    <w:p/>
    <w:p>
      <w:pPr>
        <w:pStyle w:val="Heading3"/>
      </w:pPr>
      <w:r>
        <w:t xml:space="preserve">7.1 App Layouts</w:t>
      </w:r>
    </w:p>
    <w:p/>
    <w:tbl>
      <w:tblPr>
        <w:tblW w:w="0" w:type="auto"/>
      </w:tblPr>
      <w:tr>
        <w:trPr>
          <w:tblHeader/>
        </w:trPr>
        <w:tc>
          <w:tcPr>
            <w:tcW w:w="0" w:type="auto"/>
          </w:tcPr>
          <w:p>
            <w:pPr>
              <w:pStyle w:val="TableHeader"/>
            </w:pPr>
            <w:r>
              <w:t xml:space="preserve">Layout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Component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Routes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Target User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ERP Desktop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app-shell.ts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/erp/*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Staff (Sandra, Ryan, yard team)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B2B Portal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portal-layout.ts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/portal/*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Contractor / dealer customers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Driver App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driver-layout.ts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/driver/*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Delivery drivers (mobile)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Yard App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yard-layout.ts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/yard/*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Yard/warehouse staff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POS Terminal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(inline)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/pos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Counter sales staff</w:t>
            </w:r>
          </w:p>
        </w:tc>
      </w:tr>
    </w:tbl>
    <w:p/>
    <w:p>
      <w:pPr>
        <w:pStyle w:val="Heading3"/>
      </w:pPr>
      <w:r>
        <w:t xml:space="preserve">7.2 Page Inventory</w:t>
      </w:r>
    </w:p>
    <w:p/>
    <w:tbl>
      <w:tblPr>
        <w:tblW w:w="0" w:type="auto"/>
      </w:tblPr>
      <w:tr>
        <w:trPr>
          <w:tblHeader/>
        </w:trPr>
        <w:tc>
          <w:tcPr>
            <w:tcW w:w="0" w:type="auto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Pages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b/>
              </w:rPr>
              <w:t xml:space="preserve">Accounting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BankReconciliation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ChartOfAccounts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JournalEntries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POMatching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TrialBalance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b/>
              </w:rPr>
              <w:t xml:space="preserve">Accounts (CRM)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AccountDetailPage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AccountsPage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ActivityFeed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ContactList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b/>
              </w:rPr>
              <w:t xml:space="preserve">Admin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Branches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BranchUsers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PendingApprovals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StaffManagement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TechAdminPage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b/>
              </w:rPr>
              <w:t xml:space="preserve">Admin / Pricing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AccountRulesTable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CategoryTree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MatrixGrid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PricingMatrix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ResolutionPreview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RuleDrawer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b/>
              </w:rPr>
              <w:t xml:space="preserve">Dashboard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Dashboard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DailyTill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b/>
              </w:rPr>
              <w:t xml:space="preserve">Dispatch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DispatchBoard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b/>
              </w:rPr>
              <w:t xml:space="preserve">Driver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DeliveryDetail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RouteList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StopList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b/>
              </w:rPr>
              <w:t xml:space="preserve">Governance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NewRFC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RFCDashboard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RFCDetail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b/>
              </w:rPr>
              <w:t xml:space="preserve">Inventory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ProductDetail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ProductList</w:t>
            </w:r>
            <w:r>
              <w:t xml:space="preserve"> *(+ yard: </w:t>
            </w:r>
            <w:r>
              <w:rPr>
                <w:rFonts w:ascii="Courier New" w:hAnsi="Courier New"/>
                <w:sz w:val="18"/>
              </w:rPr>
              <w:t xml:space="preserve">InventoryLookup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CycleCount</w:t>
            </w:r>
            <w:r>
              <w:t xml:space="preserve">)*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b/>
              </w:rPr>
              <w:t xml:space="preserve">Portal (B2B)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PortalHome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PortalMyAccount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PortalOrders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PortalProductDetail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PortalTeam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b/>
              </w:rPr>
              <w:t xml:space="preserve">POS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POSTerminal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b/>
              </w:rPr>
              <w:t xml:space="preserve">Projects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ProjectDashboard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ProjectList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b/>
              </w:rPr>
              <w:t xml:space="preserve">Purchasing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NewPurchaseOrder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ProcurementDashboard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PurchaseOrderDetail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PurchaseOrderList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PurchasingRecommendations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RebatePrograms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RebateReport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ReplenishmentSettings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VendorDetail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VendorList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b/>
              </w:rPr>
              <w:t xml:space="preserve">Quotes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QuoteBuilder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QuoteAnalytics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QuoteDetail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QuoteList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b/>
              </w:rPr>
              <w:t xml:space="preserve">Reports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ARAgingReport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CustomerStatementPage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ReportBuilder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SavedReports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b/>
              </w:rPr>
              <w:t xml:space="preserve">Yard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CycleCount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InventoryLookup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PickDetail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PickQueue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ReceivePO</w:t>
            </w:r>
          </w:p>
        </w:tc>
      </w:tr>
    </w:tbl>
    <w:p/>
    <w:p>
      <w:pPr>
        <w:pStyle w:val="Heading3"/>
      </w:pPr>
      <w:r>
        <w:t xml:space="preserve">7.3 Component Inventory</w:t>
      </w:r>
    </w:p>
    <w:p/>
    <w:tbl>
      <w:tblPr>
        <w:tblW w:w="0" w:type="auto"/>
      </w:tblPr>
      <w:tr>
        <w:trPr>
          <w:tblHeader/>
        </w:trPr>
        <w:tc>
          <w:tcPr>
            <w:tcW w:w="0" w:type="auto"/>
          </w:tcPr>
          <w:p>
            <w:pPr>
              <w:pStyle w:val="TableHeader"/>
            </w:pPr>
            <w:r>
              <w:t xml:space="preserve">Category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Components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b/>
              </w:rPr>
              <w:t xml:space="preserve">UI Atoms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Button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Card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Tooltip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LoadingScreen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brand-logo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toast-container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shortcuts-modal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omnibar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b/>
              </w:rPr>
              <w:t xml:space="preserve">Layout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app-shell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branch-switcher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portal-layout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driver-layout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yard-layout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b/>
              </w:rPr>
              <w:t xml:space="preserve">Dashboard Widgets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KPICard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RevenueTrendChart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OrderStatusChart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RecentOrdersFeed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TopCustomersTable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InventoryAlertsWidget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b/>
              </w:rPr>
              <w:t xml:space="preserve">Inventory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InventoryTable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AddProductModal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StockAdjustmentModal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InventoryTransferModal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ProductMarginModal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b/>
              </w:rPr>
              <w:t xml:space="preserve">Logistics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DeliveryList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RouteList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RouteMap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AssignOrderModal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CreateRouteModal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b/>
              </w:rPr>
              <w:t xml:space="preserve">Quotes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LineItemEditor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EscalatorToggle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MaterialListUpload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ParsedResultsPanel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b/>
              </w:rPr>
              <w:t xml:space="preserve">Portal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CartSidebar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ProductCard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b/>
              </w:rPr>
              <w:t xml:space="preserve">POS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OfflineBanner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b/>
              </w:rPr>
              <w:t xml:space="preserve">Payments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RunPaymentsForm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PaymentModal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b/>
              </w:rPr>
              <w:t xml:space="preserve">CRM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LogActivityModal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b/>
              </w:rPr>
              <w:t xml:space="preserve">Customers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CustomerSelect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b/>
              </w:rPr>
              <w:t xml:space="preserve">Products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ProductSelect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b/>
              </w:rPr>
              <w:t xml:space="preserve">Location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LocationManager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rPr>
                <w:b/>
              </w:rPr>
              <w:t xml:space="preserve">Common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PermissionFallbackModal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BarcodeScanner</w:t>
            </w:r>
          </w:p>
        </w:tc>
      </w:tr>
    </w:tbl>
    <w:p/>
    <w:p>
      <w:pPr>
        <w:pBdr>
          <w:bottom w:val="single" w:sz="6" w:color="333344"/>
        </w:pBdr>
      </w:pPr>
    </w:p>
    <w:p/>
    <w:p>
      <w:pPr>
        <w:pStyle w:val="Heading2"/>
      </w:pPr>
      <w:r>
        <w:t xml:space="preserve">8. General Ledger Module (A-01)</w:t>
      </w:r>
    </w:p>
    <w:p/>
    <w:p>
      <w:pPr>
        <w:pStyle w:val="Normal"/>
      </w:pPr>
      <w:r>
        <w:t xml:space="preserve">The GL module (</w:t>
      </w:r>
      <w:r>
        <w:rPr>
          <w:rFonts w:ascii="Courier New" w:hAnsi="Courier New"/>
          <w:sz w:val="18"/>
        </w:rPr>
        <w:t xml:space="preserve">internal/gl</w:t>
      </w:r>
      <w:r>
        <w:t xml:space="preserve">) is the financial core. It implements a native double-entry bookkeeping engine inside the ERP, eliminating the Dynamics GP integration.</w:t>
      </w:r>
    </w:p>
    <w:p/>
    <w:tbl>
      <w:tblPr>
        <w:tblW w:w="0" w:type="auto"/>
      </w:tblPr>
      <w:tr>
        <w:trPr>
          <w:tblHeader/>
        </w:trPr>
        <w:tc>
          <w:tcPr>
            <w:tcW w:w="0" w:type="auto"/>
          </w:tcPr>
          <w:p>
            <w:pPr>
              <w:pStyle w:val="TableHeader"/>
            </w:pPr>
            <w:r>
              <w:t xml:space="preserve">Capability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Status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Chart of Accounts (CRUD)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✅ Schema seeded (16 LBM accounts); API gaps in progress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Journal Entries (DRAFT→POSTED→VOID)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✅ Core engine; ~70% complete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Fiscal Period open/close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✅ Exists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Period reopen + admin approval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🔧 Gap — A-01 execution plan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Trial Balance compute + CSV export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✅ Exists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Balance Sheet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🔧 Gap — A-01 execution plan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P&amp;L / Income Statement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🔧 Gap — A-01 execution plan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ERP auto-posting (NATS consumer)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🔧 Gap — A-01 execution plan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Dashboard financial widget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🔧 Gap — A-01 execution plan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GL Audit 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🔧 Gap — A-01 execution plan</w:t>
            </w:r>
          </w:p>
        </w:tc>
      </w:tr>
    </w:tbl>
    <w:p/>
    <w:p>
      <w:pPr>
        <w:pStyle w:val="Normal"/>
      </w:pPr>
      <w:r>
        <w:t xml:space="preserve">Full spec: </w:t>
      </w:r>
      <w:r>
        <w:rPr>
          <w:rFonts w:ascii="Courier New" w:hAnsi="Courier New"/>
          <w:sz w:val="18"/>
        </w:rPr>
        <w:t xml:space="preserve">.agents/handoff/features/A-01-native-general-ledger/</w:t>
      </w:r>
      <w:r>
        <w:t xml:space="preserve"> (21-artifact pipeline complete)</w:t>
      </w:r>
    </w:p>
    <w:p/>
    <w:p>
      <w:pPr>
        <w:pBdr>
          <w:bottom w:val="single" w:sz="6" w:color="333344"/>
        </w:pBdr>
      </w:pPr>
    </w:p>
    <w:p/>
    <w:p>
      <w:pPr>
        <w:pStyle w:val="Heading2"/>
      </w:pPr>
      <w:r>
        <w:t xml:space="preserve">9. Active Feature Work (Current Branch)</w:t>
      </w:r>
    </w:p>
    <w:p/>
    <w:p>
      <w:pPr>
        <w:pStyle w:val="Normal"/>
      </w:pPr>
      <w:r>
        <w:rPr>
          <w:b/>
        </w:rPr>
        <w:t xml:space="preserve">Branch:</w:t>
      </w:r>
      <w:r>
        <w:t xml:space="preserve"> </w:t>
      </w:r>
      <w:r>
        <w:rPr>
          <w:rFonts w:ascii="Courier New" w:hAnsi="Courier New"/>
          <w:sz w:val="18"/>
        </w:rPr>
        <w:t xml:space="preserve">feature/a20-internal-permissions</w:t>
      </w:r>
    </w:p>
    <w:p/>
    <w:tbl>
      <w:tblPr>
        <w:tblW w:w="0" w:type="auto"/>
      </w:tblPr>
      <w:tr>
        <w:trPr>
          <w:tblHeader/>
        </w:trPr>
        <w:tc>
          <w:tcPr>
            <w:tcW w:w="0" w:type="auto"/>
          </w:tcPr>
          <w:p>
            <w:pPr>
              <w:pStyle w:val="TableHeader"/>
            </w:pPr>
            <w:r>
              <w:t xml:space="preserve">Feature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Status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Key Files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A-20: Internal Permission Model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🔧 In Progress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internal/location/role_model.go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role_repository.go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role_service.go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role_test.go</w:t>
            </w:r>
            <w:r>
              <w:t xml:space="preserve">; Migration </w:t>
            </w:r>
            <w:r>
              <w:rPr>
                <w:rFonts w:ascii="Courier New" w:hAnsi="Courier New"/>
                <w:sz w:val="18"/>
              </w:rPr>
              <w:t xml:space="preserve">079_staff_roles_and_approval_requests.sql</w:t>
            </w:r>
            <w:r>
              <w:t xml:space="preserve">; </w:t>
            </w:r>
            <w:r>
              <w:rPr>
                <w:rFonts w:ascii="Courier New" w:hAnsi="Courier New"/>
                <w:sz w:val="18"/>
              </w:rPr>
              <w:t xml:space="preserve">app/src/pages/admin/PendingApprovals.ts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StaffManagement.ts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components/common/PermissionFallbackModal.ts</w:t>
            </w:r>
          </w:p>
        </w:tc>
      </w:tr>
    </w:tbl>
    <w:p/>
    <w:p>
      <w:pPr>
        <w:pBdr>
          <w:bottom w:val="single" w:sz="6" w:color="333344"/>
        </w:pBdr>
      </w:pPr>
    </w:p>
    <w:p/>
    <w:p>
      <w:pPr>
        <w:pStyle w:val="Heading2"/>
      </w:pPr>
      <w:r>
        <w:t xml:space="preserve">10. Design System Reference</w:t>
      </w:r>
    </w:p>
    <w:p/>
    <w:p>
      <w:pPr>
        <w:pStyle w:val="Normal"/>
      </w:pPr>
      <w:r>
        <w:rPr>
          <w:b/>
        </w:rPr>
        <w:t xml:space="preserve">Theme:</w:t>
      </w:r>
      <w:r>
        <w:t xml:space="preserve"> Industrial Dark — High Contrast, Data Density, Zero Clutter</w:t>
      </w:r>
    </w:p>
    <w:p/>
    <w:tbl>
      <w:tblPr>
        <w:tblW w:w="0" w:type="auto"/>
      </w:tblPr>
      <w:tr>
        <w:trPr>
          <w:tblHeader/>
        </w:trPr>
        <w:tc>
          <w:tcPr>
            <w:tcW w:w="0" w:type="auto"/>
          </w:tcPr>
          <w:p>
            <w:pPr>
              <w:pStyle w:val="TableHeader"/>
            </w:pPr>
            <w:r>
              <w:t xml:space="preserve">Token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Value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Usage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Gable Green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#00FFA3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Primary actions, success states, active glow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Deep Space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#0A0B10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Global background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Slate Steel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#161821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Card backgrounds, sidebar, modals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Safety Red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#F43F5E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Errors, stockouts, credit hold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Blueprint Blue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#38BDF8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Technical data, dimensions, links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Glass overlay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rgba(255,255,255,0.05)</w:t>
            </w:r>
            <w:r>
              <w:t xml:space="preserve"> + </w:t>
            </w:r>
            <w:r>
              <w:rPr>
                <w:rFonts w:ascii="Courier New" w:hAnsi="Courier New"/>
                <w:sz w:val="18"/>
              </w:rPr>
              <w:t xml:space="preserve">backdrop-filter: blur(12px)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Modal overlays, cards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UI Font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Inter (400/500/600)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Labels, headers, body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Data Font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JetBrains Mono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SKUs, prices, quantities, dimensions</w:t>
            </w:r>
          </w:p>
        </w:tc>
      </w:tr>
    </w:tbl>
    <w:p/>
    <w:p>
      <w:pPr>
        <w:pStyle w:val="Normal"/>
      </w:pPr>
      <w:r>
        <w:t xml:space="preserve">Full design system: </w:t>
      </w:r>
      <w:r>
        <w:rPr>
          <w:rFonts w:ascii="Courier New" w:hAnsi="Courier New"/>
          <w:sz w:val="18"/>
        </w:rPr>
        <w:t xml:space="preserve">docs/design-system.md</w:t>
      </w:r>
    </w:p>
    <w:p/>
    <w:p>
      <w:pPr>
        <w:pBdr>
          <w:bottom w:val="single" w:sz="6" w:color="333344"/>
        </w:pBdr>
      </w:pPr>
    </w:p>
    <w:p/>
    <w:p>
      <w:pPr>
        <w:pStyle w:val="Heading2"/>
      </w:pPr>
      <w:r>
        <w:t xml:space="preserve">11. Legacy Interop &amp; Migration Strategy</w:t>
      </w:r>
    </w:p>
    <w:p/>
    <w:tbl>
      <w:tblPr>
        <w:tblW w:w="0" w:type="auto"/>
      </w:tblPr>
      <w:tr>
        <w:trPr>
          <w:tblHeader/>
        </w:trPr>
        <w:tc>
          <w:tcPr>
            <w:tcW w:w="0" w:type="auto"/>
          </w:tcPr>
          <w:p>
            <w:pPr>
              <w:pStyle w:val="TableHeader"/>
            </w:pPr>
            <w:r>
              <w:t xml:space="preserve">Legacy System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Adapter Location</w:t>
            </w:r>
          </w:p>
        </w:tc>
        <w:tc>
          <w:tcPr>
            <w:tcW w:w="0" w:type="auto"/>
          </w:tcPr>
          <w:p>
            <w:pPr>
              <w:pStyle w:val="TableHeader"/>
            </w:pPr>
            <w:r>
              <w:t xml:space="preserve">Protocol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Epicor BisTrack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internal/integrations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REST JSON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ECI Spruce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internal/integrations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SOAP XML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DMSi Agility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rPr>
                <w:rFonts w:ascii="Courier New" w:hAnsi="Courier New"/>
                <w:sz w:val="18"/>
              </w:rPr>
              <w:t xml:space="preserve">internal/integrations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REST JSON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Dynamics GP (GL)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Replacing with A-01 native GL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N/A — full replacement</w:t>
            </w:r>
          </w:p>
        </w:tc>
      </w:tr>
    </w:tbl>
    <w:p/>
    <w:p>
      <w:pPr>
        <w:pStyle w:val="Normal"/>
      </w:pPr>
      <w:r>
        <w:t xml:space="preserve">Sync engine: </w:t>
      </w:r>
      <w:r>
        <w:rPr>
          <w:rFonts w:ascii="Courier New" w:hAnsi="Courier New"/>
          <w:sz w:val="18"/>
        </w:rPr>
        <w:t xml:space="preserve">pkg/sync</w:t>
      </w:r>
      <w:r>
        <w:t xml:space="preserve"> (bidirectional data flow during phase-in).</w:t>
      </w:r>
    </w:p>
    <w:p/>
    <w:p>
      <w:pPr>
        <w:pStyle w:val="Normal"/>
      </w:pPr>
      <w:r>
        <w:rPr>
          <w:color w:val="94A3B8"/>
          <w:sz w:val="16"/>
        </w:rPr>
        <w:t>Auto-compiled by wiki-refresh · 2026-05-20 21:09 UTC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/>
    </w:pPr>
    <w:rPr>
      <w:sz w:val="22"/>
      <w:szCs w:val="22"/>
      <w:rFonts w:ascii="Calibri" w:hAnsi="Calibri"/>
    </w:rPr>
  </w:style>
  <w:style w:type="paragraph" w:styleId="Heading1">
    <w:name w:val="heading 1"/>
    <w:pPr>
      <w:outlineLvl w:val="0"/>
      <w:spacing w:before="240" w:after="120"/>
    </w:pPr>
    <w:rPr>
      <w:b/>
      <w:sz w:val="40"/>
      <w:szCs w:val="40"/>
      <w:color w:val="00CC82"/>
    </w:rPr>
  </w:style>
  <w:style w:type="paragraph" w:styleId="Heading2">
    <w:name w:val="heading 2"/>
    <w:pPr>
      <w:outlineLvl w:val="1"/>
      <w:spacing w:before="200" w:after="80"/>
    </w:pPr>
    <w:rPr>
      <w:b/>
      <w:sz w:val="28"/>
      <w:szCs w:val="28"/>
      <w:color w:val="00CC82"/>
    </w:rPr>
  </w:style>
  <w:style w:type="paragraph" w:styleId="Heading3">
    <w:name w:val="heading 3"/>
    <w:pPr>
      <w:outlineLvl w:val="2"/>
      <w:spacing w:before="160" w:after="60"/>
    </w:pPr>
    <w:rPr>
      <w:b/>
      <w:sz w:val="24"/>
      <w:szCs w:val="24"/>
      <w:color w:val="38BDF8"/>
    </w:rPr>
  </w:style>
  <w:style w:type="paragraph" w:styleId="Code">
    <w:name w:val="Code"/>
    <w:pPr>
      <w:shd w:val="clear" w:color="auto" w:fill="1A1B26"/>
    </w:pPr>
    <w:rPr>
      <w:rFonts w:ascii="Courier New" w:hAnsi="Courier New"/>
      <w:sz w:val="18"/>
      <w:szCs w:val="18"/>
      <w:color w:val="A9B1D6"/>
    </w:rPr>
  </w:style>
  <w:style w:type="paragraph" w:styleId="TableHeader">
    <w:name w:val="TableHeader"/>
    <w:rPr>
      <w:b/>
      <w:sz w:val="20"/>
      <w:color w:val="94A3B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