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CFEEBB">
      <w:pPr>
        <w:spacing w:line="600" w:lineRule="exact"/>
        <w:ind w:right="-94" w:rightChars="0"/>
        <w:outlineLvl w:val="9"/>
        <w:rPr>
          <w:rFonts w:hint="eastAsia" w:ascii="隶书" w:hAnsi="宋体" w:eastAsia="黑体"/>
          <w:sz w:val="24"/>
          <w:lang w:val="en"/>
        </w:rPr>
      </w:pPr>
      <w:r>
        <w:rPr>
          <w:rFonts w:hint="eastAsia" w:ascii="黑体" w:hAnsi="黑体" w:eastAsia="黑体"/>
          <w:sz w:val="32"/>
          <w:szCs w:val="32"/>
        </w:rPr>
        <w:t>作品编号：</w:t>
      </w:r>
    </w:p>
    <w:p w14:paraId="7B065133">
      <w:pPr>
        <w:spacing w:line="20" w:lineRule="atLeast"/>
        <w:ind w:firstLine="5400" w:firstLineChars="2250"/>
        <w:rPr>
          <w:rFonts w:hint="eastAsia" w:ascii="隶书" w:hAnsi="宋体" w:eastAsia="隶书"/>
          <w:sz w:val="24"/>
        </w:rPr>
      </w:pPr>
    </w:p>
    <w:p w14:paraId="3C66067E">
      <w:pPr>
        <w:spacing w:line="20" w:lineRule="atLeast"/>
        <w:ind w:firstLine="5400" w:firstLineChars="2250"/>
        <w:rPr>
          <w:rFonts w:hint="eastAsia" w:ascii="隶书" w:hAnsi="宋体" w:eastAsia="隶书"/>
          <w:sz w:val="24"/>
        </w:rPr>
      </w:pPr>
    </w:p>
    <w:p w14:paraId="3113D815">
      <w:pPr>
        <w:spacing w:line="20" w:lineRule="atLeast"/>
        <w:ind w:firstLine="5400" w:firstLineChars="2250"/>
        <w:rPr>
          <w:rFonts w:hint="eastAsia" w:ascii="隶书" w:hAnsi="宋体" w:eastAsia="隶书"/>
          <w:sz w:val="24"/>
        </w:rPr>
      </w:pPr>
    </w:p>
    <w:p w14:paraId="61555BF8">
      <w:pPr>
        <w:spacing w:line="600" w:lineRule="auto"/>
        <w:jc w:val="center"/>
        <w:rPr>
          <w:rFonts w:hint="eastAsia" w:ascii="方正小标宋_GBK" w:hAnsi="等线" w:eastAsia="方正小标宋_GBK"/>
          <w:sz w:val="44"/>
          <w:szCs w:val="44"/>
        </w:rPr>
      </w:pPr>
    </w:p>
    <w:p w14:paraId="5BD0280B">
      <w:pPr>
        <w:pStyle w:val="43"/>
        <w:spacing w:line="900" w:lineRule="exact"/>
        <w:ind w:left="-199" w:leftChars="-95" w:right="-307" w:rightChars="-146" w:firstLine="0" w:firstLineChars="0"/>
        <w:jc w:val="center"/>
        <w:rPr>
          <w:rFonts w:hint="eastAsia" w:ascii="方正小标宋简体" w:hAnsi="等线" w:eastAsia="方正小标宋简体" w:cs="方正小标宋_GBK"/>
          <w:sz w:val="44"/>
          <w:szCs w:val="44"/>
          <w:lang w:bidi="ar"/>
        </w:rPr>
      </w:pPr>
      <w:r>
        <w:rPr>
          <w:rFonts w:hint="eastAsia" w:ascii="方正小标宋简体" w:hAnsi="等线" w:eastAsia="方正小标宋简体" w:cs="方正小标宋_GBK"/>
          <w:sz w:val="44"/>
          <w:szCs w:val="44"/>
          <w:lang w:bidi="ar"/>
        </w:rPr>
        <w:t>2026年（第十二届）全国大学生统计建模赛</w:t>
      </w:r>
    </w:p>
    <w:p w14:paraId="22B617BB">
      <w:pPr>
        <w:pStyle w:val="43"/>
        <w:spacing w:line="900" w:lineRule="exact"/>
        <w:ind w:left="-199" w:leftChars="-95" w:right="-307" w:rightChars="-146" w:firstLine="0" w:firstLineChars="0"/>
        <w:jc w:val="center"/>
        <w:rPr>
          <w:rFonts w:hint="eastAsia" w:ascii="方正小标宋简体" w:eastAsia="方正小标宋简体"/>
        </w:rPr>
      </w:pPr>
      <w:r>
        <w:rPr>
          <w:rFonts w:hint="eastAsia" w:ascii="方正小标宋简体" w:hAnsi="等线" w:eastAsia="方正小标宋简体" w:cs="方正小标宋_GBK"/>
          <w:sz w:val="52"/>
          <w:szCs w:val="52"/>
          <w:lang w:bidi="ar"/>
        </w:rPr>
        <w:t>参赛作品</w:t>
      </w:r>
    </w:p>
    <w:p w14:paraId="3EB92438"/>
    <w:p w14:paraId="5FAF5687">
      <w:pPr>
        <w:spacing w:line="20" w:lineRule="atLeast"/>
        <w:rPr>
          <w:sz w:val="32"/>
          <w:szCs w:val="28"/>
        </w:rPr>
      </w:pPr>
    </w:p>
    <w:p w14:paraId="64975F3E">
      <w:pPr>
        <w:pStyle w:val="43"/>
        <w:rPr>
          <w:rFonts w:hint="eastAsia"/>
        </w:rPr>
      </w:pPr>
    </w:p>
    <w:p w14:paraId="1E2DC470">
      <w:pPr>
        <w:pStyle w:val="43"/>
        <w:rPr>
          <w:rFonts w:hint="eastAsia"/>
        </w:rPr>
      </w:pPr>
    </w:p>
    <w:p w14:paraId="5CD5BA47">
      <w:pPr>
        <w:spacing w:line="20" w:lineRule="atLeast"/>
        <w:rPr>
          <w:sz w:val="32"/>
          <w:szCs w:val="28"/>
        </w:rPr>
      </w:pPr>
    </w:p>
    <w:tbl>
      <w:tblPr>
        <w:tblStyle w:val="20"/>
        <w:tblW w:w="8768" w:type="dxa"/>
        <w:jc w:val="center"/>
        <w:tblLayout w:type="fixed"/>
        <w:tblCellMar>
          <w:top w:w="0" w:type="dxa"/>
          <w:left w:w="108" w:type="dxa"/>
          <w:bottom w:w="0" w:type="dxa"/>
          <w:right w:w="108" w:type="dxa"/>
        </w:tblCellMar>
      </w:tblPr>
      <w:tblGrid>
        <w:gridCol w:w="2127"/>
        <w:gridCol w:w="6641"/>
      </w:tblGrid>
      <w:tr w14:paraId="6DBB99CD">
        <w:tblPrEx>
          <w:tblCellMar>
            <w:top w:w="0" w:type="dxa"/>
            <w:left w:w="108" w:type="dxa"/>
            <w:bottom w:w="0" w:type="dxa"/>
            <w:right w:w="108" w:type="dxa"/>
          </w:tblCellMar>
        </w:tblPrEx>
        <w:trPr>
          <w:trHeight w:val="829" w:hRule="atLeast"/>
          <w:jc w:val="center"/>
        </w:trPr>
        <w:tc>
          <w:tcPr>
            <w:tcW w:w="2127" w:type="dxa"/>
            <w:tcBorders>
              <w:top w:val="nil"/>
              <w:left w:val="nil"/>
              <w:bottom w:val="nil"/>
              <w:right w:val="nil"/>
            </w:tcBorders>
            <w:vAlign w:val="center"/>
          </w:tcPr>
          <w:p w14:paraId="0E581B79">
            <w:pPr>
              <w:keepNext w:val="0"/>
              <w:keepLines w:val="0"/>
              <w:widowControl/>
              <w:suppressLineNumbers w:val="0"/>
              <w:spacing w:before="0" w:beforeAutospacing="0" w:after="0" w:afterAutospacing="0" w:line="20" w:lineRule="atLeast"/>
              <w:ind w:left="0" w:right="0"/>
              <w:jc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rPr>
              <w:t>参赛学校：</w:t>
            </w:r>
          </w:p>
        </w:tc>
        <w:tc>
          <w:tcPr>
            <w:tcW w:w="6641" w:type="dxa"/>
            <w:tcBorders>
              <w:top w:val="nil"/>
              <w:left w:val="nil"/>
              <w:bottom w:val="single" w:color="auto" w:sz="12" w:space="0"/>
              <w:right w:val="nil"/>
            </w:tcBorders>
            <w:vAlign w:val="center"/>
          </w:tcPr>
          <w:p w14:paraId="6522B717">
            <w:pPr>
              <w:keepNext w:val="0"/>
              <w:keepLines w:val="0"/>
              <w:widowControl/>
              <w:suppressLineNumbers w:val="0"/>
              <w:spacing w:before="0" w:beforeAutospacing="0" w:after="0" w:afterAutospacing="0"/>
              <w:ind w:left="0" w:right="0"/>
              <w:rPr>
                <w:rFonts w:hint="eastAsia" w:ascii="仿宋_GB2312" w:hAnsi="仿宋_GB2312" w:eastAsia="仿宋_GB2312" w:cs="仿宋_GB2312"/>
                <w:bCs/>
                <w:sz w:val="32"/>
                <w:szCs w:val="32"/>
              </w:rPr>
            </w:pPr>
          </w:p>
          <w:p w14:paraId="7FD6C7CA">
            <w:pPr>
              <w:keepNext w:val="0"/>
              <w:keepLines w:val="0"/>
              <w:widowControl/>
              <w:suppressLineNumbers w:val="0"/>
              <w:spacing w:before="0" w:beforeAutospacing="0" w:after="0" w:afterAutospacing="0" w:line="20" w:lineRule="atLeast"/>
              <w:ind w:left="0" w:right="0"/>
              <w:jc w:val="center"/>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南昌大学</w:t>
            </w:r>
          </w:p>
        </w:tc>
      </w:tr>
      <w:tr w14:paraId="3F8837D7">
        <w:tblPrEx>
          <w:tblCellMar>
            <w:top w:w="0" w:type="dxa"/>
            <w:left w:w="108" w:type="dxa"/>
            <w:bottom w:w="0" w:type="dxa"/>
            <w:right w:w="108" w:type="dxa"/>
          </w:tblCellMar>
        </w:tblPrEx>
        <w:trPr>
          <w:trHeight w:val="1134" w:hRule="atLeast"/>
          <w:jc w:val="center"/>
        </w:trPr>
        <w:tc>
          <w:tcPr>
            <w:tcW w:w="2127" w:type="dxa"/>
            <w:tcBorders>
              <w:top w:val="nil"/>
              <w:left w:val="nil"/>
              <w:bottom w:val="nil"/>
              <w:right w:val="nil"/>
            </w:tcBorders>
            <w:vAlign w:val="center"/>
          </w:tcPr>
          <w:p w14:paraId="51082C68">
            <w:pPr>
              <w:keepNext w:val="0"/>
              <w:keepLines w:val="0"/>
              <w:widowControl/>
              <w:suppressLineNumbers w:val="0"/>
              <w:spacing w:before="0" w:beforeAutospacing="0" w:after="0" w:afterAutospacing="0" w:line="20" w:lineRule="atLeast"/>
              <w:ind w:left="0" w:right="0"/>
              <w:jc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rPr>
              <w:t>论文题目：</w:t>
            </w:r>
          </w:p>
        </w:tc>
        <w:tc>
          <w:tcPr>
            <w:tcW w:w="6641" w:type="dxa"/>
            <w:tcBorders>
              <w:top w:val="single" w:color="auto" w:sz="12" w:space="0"/>
              <w:left w:val="nil"/>
              <w:bottom w:val="single" w:color="auto" w:sz="12" w:space="0"/>
            </w:tcBorders>
            <w:vAlign w:val="center"/>
          </w:tcPr>
          <w:p w14:paraId="29A87B20">
            <w:pPr>
              <w:keepNext w:val="0"/>
              <w:keepLines w:val="0"/>
              <w:widowControl/>
              <w:suppressLineNumbers w:val="0"/>
              <w:spacing w:before="0" w:beforeAutospacing="0" w:after="0" w:afterAutospacing="0" w:line="20" w:lineRule="atLeast"/>
              <w:ind w:left="0" w:right="0"/>
              <w:jc w:val="center"/>
              <w:rPr>
                <w:rFonts w:hint="eastAsia" w:ascii="仿宋_GB2312" w:hAnsi="仿宋_GB2312" w:eastAsia="仿宋_GB2312" w:cs="仿宋_GB2312"/>
                <w:bCs/>
                <w:sz w:val="32"/>
                <w:szCs w:val="32"/>
                <w:lang w:eastAsia="zh"/>
              </w:rPr>
            </w:pPr>
            <w:r>
              <w:rPr>
                <w:rFonts w:hint="eastAsia" w:ascii="仿宋_GB2312" w:hAnsi="仿宋_GB2312" w:eastAsia="仿宋_GB2312" w:cs="仿宋_GB2312"/>
                <w:bCs/>
                <w:sz w:val="32"/>
                <w:szCs w:val="32"/>
                <w:lang w:eastAsia="zh"/>
                <w:woUserID w:val="2"/>
              </w:rPr>
              <w:t>‘人工智能+’赋能制造业企业提质增效影响研究——基于中国A股上市公司的实证分析</w:t>
            </w:r>
          </w:p>
        </w:tc>
      </w:tr>
      <w:tr w14:paraId="5C092C77">
        <w:tblPrEx>
          <w:tblCellMar>
            <w:top w:w="0" w:type="dxa"/>
            <w:left w:w="108" w:type="dxa"/>
            <w:bottom w:w="0" w:type="dxa"/>
            <w:right w:w="108" w:type="dxa"/>
          </w:tblCellMar>
        </w:tblPrEx>
        <w:trPr>
          <w:trHeight w:val="1134" w:hRule="atLeast"/>
          <w:jc w:val="center"/>
        </w:trPr>
        <w:tc>
          <w:tcPr>
            <w:tcW w:w="2127" w:type="dxa"/>
            <w:tcBorders>
              <w:top w:val="nil"/>
              <w:left w:val="nil"/>
              <w:bottom w:val="nil"/>
              <w:right w:val="nil"/>
            </w:tcBorders>
            <w:vAlign w:val="center"/>
          </w:tcPr>
          <w:p w14:paraId="67D31C4D">
            <w:pPr>
              <w:keepNext w:val="0"/>
              <w:keepLines w:val="0"/>
              <w:widowControl/>
              <w:suppressLineNumbers w:val="0"/>
              <w:spacing w:before="0" w:beforeAutospacing="0" w:after="0" w:afterAutospacing="0" w:line="20" w:lineRule="atLeast"/>
              <w:ind w:left="0" w:right="0"/>
              <w:jc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rPr>
              <w:t>参赛队员：</w:t>
            </w:r>
          </w:p>
        </w:tc>
        <w:tc>
          <w:tcPr>
            <w:tcW w:w="6641" w:type="dxa"/>
            <w:tcBorders>
              <w:top w:val="single" w:color="auto" w:sz="12" w:space="0"/>
              <w:left w:val="nil"/>
              <w:bottom w:val="single" w:color="auto" w:sz="12" w:space="0"/>
            </w:tcBorders>
            <w:vAlign w:val="center"/>
          </w:tcPr>
          <w:p w14:paraId="28F1B713">
            <w:pPr>
              <w:keepNext w:val="0"/>
              <w:keepLines w:val="0"/>
              <w:widowControl/>
              <w:suppressLineNumbers w:val="0"/>
              <w:spacing w:before="0" w:beforeAutospacing="0" w:after="0" w:afterAutospacing="0" w:line="20" w:lineRule="atLeast"/>
              <w:ind w:left="0" w:right="0"/>
              <w:jc w:val="center"/>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王胜业</w:t>
            </w:r>
            <w:r>
              <w:rPr>
                <w:rFonts w:hint="eastAsia" w:ascii="仿宋_GB2312" w:hAnsi="仿宋_GB2312" w:eastAsia="仿宋_GB2312" w:cs="仿宋_GB2312"/>
                <w:bCs/>
                <w:sz w:val="32"/>
                <w:szCs w:val="32"/>
                <w:lang w:val="en-US" w:eastAsia="zh-CN"/>
              </w:rPr>
              <w:t xml:space="preserve">  </w:t>
            </w:r>
            <w:r>
              <w:rPr>
                <w:rFonts w:hint="eastAsia" w:ascii="仿宋_GB2312" w:hAnsi="仿宋_GB2312" w:eastAsia="仿宋_GB2312" w:cs="仿宋_GB2312"/>
                <w:bCs/>
                <w:sz w:val="32"/>
                <w:szCs w:val="32"/>
              </w:rPr>
              <w:t xml:space="preserve">姚若伊 </w:t>
            </w:r>
            <w:r>
              <w:rPr>
                <w:rFonts w:hint="eastAsia" w:ascii="仿宋_GB2312" w:hAnsi="仿宋_GB2312" w:eastAsia="仿宋_GB2312" w:cs="仿宋_GB2312"/>
                <w:bCs/>
                <w:sz w:val="32"/>
                <w:szCs w:val="32"/>
                <w:lang w:val="en-US" w:eastAsia="zh-CN"/>
              </w:rPr>
              <w:t xml:space="preserve"> </w:t>
            </w:r>
            <w:r>
              <w:rPr>
                <w:rFonts w:hint="eastAsia" w:ascii="仿宋_GB2312" w:hAnsi="仿宋_GB2312" w:eastAsia="仿宋_GB2312" w:cs="仿宋_GB2312"/>
                <w:bCs/>
                <w:sz w:val="32"/>
                <w:szCs w:val="32"/>
              </w:rPr>
              <w:t>王雅菲</w:t>
            </w:r>
          </w:p>
        </w:tc>
      </w:tr>
      <w:tr w14:paraId="31A03CDE">
        <w:tblPrEx>
          <w:tblCellMar>
            <w:top w:w="0" w:type="dxa"/>
            <w:left w:w="108" w:type="dxa"/>
            <w:bottom w:w="0" w:type="dxa"/>
            <w:right w:w="108" w:type="dxa"/>
          </w:tblCellMar>
        </w:tblPrEx>
        <w:trPr>
          <w:trHeight w:val="1134" w:hRule="atLeast"/>
          <w:jc w:val="center"/>
        </w:trPr>
        <w:tc>
          <w:tcPr>
            <w:tcW w:w="2127" w:type="dxa"/>
            <w:tcBorders>
              <w:top w:val="nil"/>
              <w:left w:val="nil"/>
              <w:bottom w:val="nil"/>
              <w:right w:val="nil"/>
            </w:tcBorders>
            <w:vAlign w:val="center"/>
          </w:tcPr>
          <w:p w14:paraId="66FBC5E4">
            <w:pPr>
              <w:keepNext w:val="0"/>
              <w:keepLines w:val="0"/>
              <w:widowControl/>
              <w:suppressLineNumbers w:val="0"/>
              <w:spacing w:before="0" w:beforeAutospacing="0" w:after="0" w:afterAutospacing="0" w:line="20" w:lineRule="atLeast"/>
              <w:ind w:left="0" w:right="0"/>
              <w:jc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rPr>
              <w:t>指导老师：</w:t>
            </w:r>
          </w:p>
        </w:tc>
        <w:tc>
          <w:tcPr>
            <w:tcW w:w="6641" w:type="dxa"/>
            <w:tcBorders>
              <w:top w:val="single" w:color="auto" w:sz="12" w:space="0"/>
              <w:left w:val="nil"/>
              <w:bottom w:val="single" w:color="auto" w:sz="12" w:space="0"/>
            </w:tcBorders>
            <w:vAlign w:val="center"/>
          </w:tcPr>
          <w:p w14:paraId="63E3B4E9">
            <w:pPr>
              <w:keepNext w:val="0"/>
              <w:keepLines w:val="0"/>
              <w:widowControl/>
              <w:suppressLineNumbers w:val="0"/>
              <w:spacing w:before="0" w:beforeAutospacing="0" w:after="0" w:afterAutospacing="0" w:line="20" w:lineRule="atLeast"/>
              <w:ind w:left="0" w:right="0"/>
              <w:jc w:val="center"/>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施绍萍</w:t>
            </w:r>
          </w:p>
        </w:tc>
      </w:tr>
    </w:tbl>
    <w:p w14:paraId="6B4BCB8A"/>
    <w:p w14:paraId="69ACAE9E"/>
    <w:p w14:paraId="2FED3F98"/>
    <w:p w14:paraId="0793C8F3"/>
    <w:p w14:paraId="2D4313B4">
      <w:pPr>
        <w:spacing w:line="480" w:lineRule="exact"/>
        <w:ind w:left="-199" w:leftChars="-95" w:right="-307" w:rightChars="-146" w:firstLine="0" w:firstLineChars="0"/>
        <w:jc w:val="center"/>
        <w:rPr>
          <w:rFonts w:hint="eastAsia" w:ascii="方正小标宋简体" w:hAnsi="等线" w:eastAsia="方正小标宋简体" w:cs="方正小标宋_GBK"/>
          <w:kern w:val="2"/>
          <w:sz w:val="32"/>
          <w:szCs w:val="32"/>
          <w:lang w:val="en-US" w:eastAsia="zh" w:bidi="ar"/>
          <w14:ligatures w14:val="none"/>
        </w:rPr>
      </w:pPr>
      <w:r>
        <w:rPr>
          <w:rFonts w:hint="eastAsia" w:ascii="方正小标宋简体" w:hAnsi="等线" w:eastAsia="方正小标宋简体" w:cs="方正小标宋_GBK"/>
          <w:kern w:val="2"/>
          <w:sz w:val="32"/>
          <w:szCs w:val="32"/>
          <w:lang w:val="en-US" w:eastAsia="zh-CN" w:bidi="ar"/>
          <w14:ligatures w14:val="none"/>
        </w:rPr>
        <w:t>“</w:t>
      </w:r>
      <w:r>
        <w:rPr>
          <w:rFonts w:hint="eastAsia" w:ascii="方正小标宋简体" w:hAnsi="等线" w:eastAsia="方正小标宋简体" w:cs="方正小标宋_GBK"/>
          <w:kern w:val="2"/>
          <w:sz w:val="32"/>
          <w:szCs w:val="32"/>
          <w:lang w:val="en-US" w:eastAsia="zh" w:bidi="ar"/>
          <w14:ligatures w14:val="none"/>
        </w:rPr>
        <w:t>人工智能+</w:t>
      </w:r>
      <w:r>
        <w:rPr>
          <w:rFonts w:hint="eastAsia" w:ascii="方正小标宋简体" w:hAnsi="等线" w:eastAsia="方正小标宋简体" w:cs="方正小标宋_GBK"/>
          <w:kern w:val="2"/>
          <w:sz w:val="32"/>
          <w:szCs w:val="32"/>
          <w:lang w:val="en-US" w:eastAsia="zh-CN" w:bidi="ar"/>
          <w14:ligatures w14:val="none"/>
        </w:rPr>
        <w:t>”</w:t>
      </w:r>
      <w:r>
        <w:rPr>
          <w:rFonts w:hint="eastAsia" w:ascii="方正小标宋简体" w:hAnsi="等线" w:eastAsia="方正小标宋简体" w:cs="方正小标宋_GBK"/>
          <w:kern w:val="2"/>
          <w:sz w:val="32"/>
          <w:szCs w:val="32"/>
          <w:lang w:val="en-US" w:eastAsia="zh" w:bidi="ar"/>
          <w14:ligatures w14:val="none"/>
        </w:rPr>
        <w:t>赋能制造业企业提质增效影响研究</w:t>
      </w:r>
    </w:p>
    <w:p w14:paraId="4782457E">
      <w:pPr>
        <w:spacing w:line="480" w:lineRule="exact"/>
        <w:ind w:left="-199" w:leftChars="-95" w:right="-307" w:rightChars="-146" w:firstLine="0" w:firstLineChars="0"/>
        <w:jc w:val="center"/>
        <w:rPr>
          <w:rFonts w:hint="eastAsia" w:ascii="方正小标宋简体" w:hAnsi="仿宋_GB2312" w:eastAsia="方正小标宋简体" w:cs="Times New Roman"/>
          <w:kern w:val="2"/>
          <w:sz w:val="32"/>
          <w:szCs w:val="32"/>
          <w:lang w:val="en-US" w:eastAsia="zh" w:bidi="ar-SA"/>
          <w14:ligatures w14:val="none"/>
        </w:rPr>
      </w:pPr>
      <w:r>
        <w:rPr>
          <w:rFonts w:hint="eastAsia" w:ascii="方正小标宋简体" w:hAnsi="等线" w:eastAsia="方正小标宋简体" w:cs="方正小标宋_GBK"/>
          <w:kern w:val="2"/>
          <w:sz w:val="32"/>
          <w:szCs w:val="32"/>
          <w:lang w:val="en-US" w:eastAsia="zh-CN" w:bidi="ar"/>
          <w14:ligatures w14:val="none"/>
        </w:rPr>
        <w:t xml:space="preserve"> </w:t>
      </w:r>
      <w:r>
        <w:rPr>
          <w:rFonts w:hint="eastAsia" w:ascii="方正小标宋简体" w:hAnsi="等线" w:eastAsia="方正小标宋简体" w:cs="方正小标宋_GBK"/>
          <w:kern w:val="2"/>
          <w:sz w:val="32"/>
          <w:szCs w:val="32"/>
          <w:lang w:val="en-US" w:eastAsia="zh" w:bidi="ar"/>
          <w14:ligatures w14:val="none"/>
        </w:rPr>
        <w:t>——</w:t>
      </w:r>
      <w:r>
        <w:rPr>
          <w:rFonts w:hint="eastAsia" w:ascii="方正小标宋简体" w:hAnsi="等线" w:eastAsia="方正小标宋简体" w:cs="方正小标宋_GBK"/>
          <w:kern w:val="2"/>
          <w:sz w:val="32"/>
          <w:szCs w:val="32"/>
          <w:lang w:val="en-US" w:eastAsia="zh-CN" w:bidi="ar"/>
          <w14:ligatures w14:val="none"/>
        </w:rPr>
        <w:t xml:space="preserve"> </w:t>
      </w:r>
      <w:r>
        <w:rPr>
          <w:rFonts w:hint="eastAsia" w:ascii="方正小标宋简体" w:hAnsi="等线" w:eastAsia="方正小标宋简体" w:cs="方正小标宋_GBK"/>
          <w:kern w:val="2"/>
          <w:sz w:val="32"/>
          <w:szCs w:val="32"/>
          <w:lang w:val="en-US" w:eastAsia="zh" w:bidi="ar"/>
          <w14:ligatures w14:val="none"/>
        </w:rPr>
        <w:t>基于中国A股上市公司的实证分析</w:t>
      </w:r>
    </w:p>
    <w:p w14:paraId="4485D5CF">
      <w:pPr>
        <w:jc w:val="center"/>
        <w:outlineLvl w:val="0"/>
        <w:rPr>
          <w:rFonts w:ascii="黑体" w:hAnsi="黑体" w:eastAsia="黑体"/>
          <w:sz w:val="28"/>
          <w:szCs w:val="28"/>
        </w:rPr>
      </w:pPr>
      <w:bookmarkStart w:id="0" w:name="_Toc22995"/>
      <w:bookmarkStart w:id="1" w:name="_Toc7830"/>
      <w:r>
        <w:rPr>
          <w:rFonts w:hint="eastAsia" w:ascii="黑体" w:hAnsi="黑体" w:eastAsia="黑体"/>
          <w:sz w:val="28"/>
          <w:szCs w:val="28"/>
        </w:rPr>
        <w:t>摘要</w:t>
      </w:r>
      <w:bookmarkEnd w:id="0"/>
      <w:bookmarkEnd w:id="1"/>
    </w:p>
    <w:p w14:paraId="55CC647E">
      <w:pPr>
        <w:keepNext w:val="0"/>
        <w:keepLines w:val="0"/>
        <w:pageBreakBefore w:val="0"/>
        <w:widowControl/>
        <w:kinsoku/>
        <w:wordWrap/>
        <w:overflowPunct/>
        <w:topLinePunct w:val="0"/>
        <w:autoSpaceDE/>
        <w:autoSpaceDN/>
        <w:bidi w:val="0"/>
        <w:adjustRightInd/>
        <w:snapToGrid/>
        <w:ind w:firstLine="420"/>
        <w:textAlignment w:val="auto"/>
        <w:rPr>
          <w:rFonts w:hint="eastAsia" w:ascii="宋体" w:hAnsi="宋体" w:eastAsia="宋体" w:cs="宋体"/>
          <w:sz w:val="24"/>
          <w:szCs w:val="24"/>
          <w:lang w:val="en-US"/>
        </w:rPr>
      </w:pPr>
      <w:r>
        <w:rPr>
          <w:rFonts w:hint="eastAsia" w:ascii="宋体" w:hAnsi="宋体" w:eastAsia="宋体" w:cs="宋体"/>
          <w:sz w:val="24"/>
          <w:szCs w:val="24"/>
          <w:lang w:val="en-US" w:eastAsia="zh-CN"/>
        </w:rPr>
        <w:t>随着制造业智能化转型进程加快，人工智能赋能企业高质量发展已成为学术与业界共同关注的焦点。</w:t>
      </w:r>
      <w:r>
        <w:rPr>
          <w:rFonts w:hint="eastAsia" w:ascii="宋体" w:hAnsi="宋体" w:eastAsia="宋体" w:cs="宋体"/>
          <w:sz w:val="24"/>
          <w:szCs w:val="24"/>
        </w:rPr>
        <w:t>本文</w:t>
      </w:r>
      <w:r>
        <w:rPr>
          <w:rFonts w:hint="eastAsia" w:ascii="宋体" w:hAnsi="宋体" w:eastAsia="宋体" w:cs="宋体"/>
          <w:sz w:val="24"/>
          <w:szCs w:val="24"/>
          <w:lang w:val="en-US" w:eastAsia="zh-CN"/>
        </w:rPr>
        <w:t>以（</w:t>
      </w:r>
      <w:r>
        <w:rPr>
          <w:rFonts w:hint="eastAsia" w:ascii="宋体" w:hAnsi="宋体" w:eastAsia="宋体" w:cs="宋体"/>
          <w:sz w:val="24"/>
          <w:szCs w:val="24"/>
        </w:rPr>
        <w:t>2019年-2024年</w:t>
      </w:r>
      <w:r>
        <w:rPr>
          <w:rFonts w:hint="eastAsia" w:ascii="宋体" w:hAnsi="宋体" w:eastAsia="宋体" w:cs="宋体"/>
          <w:sz w:val="24"/>
          <w:szCs w:val="24"/>
          <w:lang w:eastAsia="zh-CN"/>
        </w:rPr>
        <w:t>）</w:t>
      </w:r>
      <w:r>
        <w:rPr>
          <w:rFonts w:hint="eastAsia" w:ascii="宋体" w:hAnsi="宋体" w:eastAsia="宋体" w:cs="宋体"/>
          <w:sz w:val="24"/>
          <w:szCs w:val="24"/>
        </w:rPr>
        <w:t>A股上市制造业企业</w:t>
      </w:r>
      <w:r>
        <w:rPr>
          <w:rFonts w:hint="eastAsia" w:ascii="宋体" w:hAnsi="宋体" w:eastAsia="宋体" w:cs="宋体"/>
          <w:sz w:val="24"/>
          <w:szCs w:val="24"/>
          <w:lang w:val="en-US" w:eastAsia="zh-CN"/>
        </w:rPr>
        <w:t>为研究样本，基于（CSMAR）数据库构建企业面板数据，实证检验企业人工智能关注度与企业提质增效之间的关联。研究以</w:t>
      </w:r>
      <w:r>
        <w:rPr>
          <w:rFonts w:hint="eastAsia" w:ascii="宋体" w:hAnsi="宋体" w:eastAsia="宋体" w:cs="宋体"/>
          <w:b/>
          <w:bCs/>
          <w:sz w:val="24"/>
          <w:szCs w:val="24"/>
          <w:lang w:val="en-US" w:eastAsia="zh-CN"/>
        </w:rPr>
        <w:t>企业年报AI词频</w:t>
      </w:r>
      <w:r>
        <w:rPr>
          <w:rFonts w:hint="eastAsia" w:ascii="宋体" w:hAnsi="宋体" w:eastAsia="宋体" w:cs="宋体"/>
          <w:sz w:val="24"/>
          <w:szCs w:val="24"/>
          <w:lang w:val="en-US" w:eastAsia="zh-CN"/>
        </w:rPr>
        <w:t>对数作为核心解释变量，同时采用管理层讨论与分析，综合AI投资与专利信息等AI应用指数作为替代指标；</w:t>
      </w:r>
      <w:r>
        <w:rPr>
          <w:rFonts w:hint="eastAsia" w:ascii="宋体" w:hAnsi="宋体" w:eastAsia="宋体" w:cs="宋体"/>
          <w:sz w:val="24"/>
          <w:szCs w:val="24"/>
        </w:rPr>
        <w:t>从</w:t>
      </w:r>
      <w:r>
        <w:rPr>
          <w:rFonts w:hint="eastAsia" w:ascii="宋体" w:hAnsi="宋体" w:eastAsia="宋体" w:cs="宋体"/>
          <w:b/>
          <w:bCs/>
          <w:sz w:val="24"/>
          <w:szCs w:val="24"/>
        </w:rPr>
        <w:t>质量与效率双维度</w:t>
      </w:r>
      <w:r>
        <w:rPr>
          <w:rFonts w:hint="eastAsia" w:ascii="宋体" w:hAnsi="宋体" w:eastAsia="宋体" w:cs="宋体"/>
          <w:sz w:val="24"/>
          <w:szCs w:val="24"/>
        </w:rPr>
        <w:t>构建</w:t>
      </w:r>
      <w:r>
        <w:rPr>
          <w:rFonts w:hint="eastAsia" w:ascii="宋体" w:hAnsi="宋体" w:eastAsia="宋体" w:cs="宋体"/>
          <w:b/>
          <w:bCs/>
          <w:sz w:val="24"/>
          <w:szCs w:val="24"/>
        </w:rPr>
        <w:t>综合提质增效指数</w:t>
      </w:r>
      <w:r>
        <w:rPr>
          <w:rFonts w:hint="eastAsia" w:ascii="宋体" w:hAnsi="宋体" w:eastAsia="宋体" w:cs="宋体"/>
          <w:sz w:val="24"/>
          <w:szCs w:val="24"/>
        </w:rPr>
        <w:t>作为核心被解释变量，并以LP法测算的全要素生产率作为稳健性检验指标；在控制企业规模、资产负债率、研发强度、企业年龄等特征的基础上，</w:t>
      </w:r>
      <w:r>
        <w:rPr>
          <w:rFonts w:hint="eastAsia" w:ascii="宋体" w:hAnsi="宋体" w:cs="宋体"/>
          <w:sz w:val="24"/>
          <w:szCs w:val="24"/>
          <w:lang w:val="en-US" w:eastAsia="zh-CN"/>
        </w:rPr>
        <w:t>采</w:t>
      </w:r>
      <w:r>
        <w:rPr>
          <w:rFonts w:hint="eastAsia" w:ascii="宋体" w:hAnsi="宋体" w:eastAsia="宋体" w:cs="宋体"/>
          <w:sz w:val="24"/>
          <w:szCs w:val="24"/>
        </w:rPr>
        <w:t>用双向固定效应模型并</w:t>
      </w:r>
      <w:r>
        <w:rPr>
          <w:rFonts w:hint="eastAsia" w:ascii="宋体" w:hAnsi="宋体" w:cs="宋体"/>
          <w:sz w:val="24"/>
          <w:szCs w:val="24"/>
          <w:lang w:val="en-US" w:eastAsia="zh-CN"/>
        </w:rPr>
        <w:t>使</w:t>
      </w:r>
      <w:r>
        <w:rPr>
          <w:rFonts w:hint="eastAsia" w:ascii="宋体" w:hAnsi="宋体" w:eastAsia="宋体" w:cs="宋体"/>
          <w:sz w:val="24"/>
          <w:szCs w:val="24"/>
        </w:rPr>
        <w:t>用公司层面聚类稳健标准误进行</w:t>
      </w:r>
      <w:r>
        <w:rPr>
          <w:rFonts w:hint="eastAsia" w:ascii="宋体" w:hAnsi="宋体" w:cs="宋体"/>
          <w:sz w:val="24"/>
          <w:szCs w:val="24"/>
          <w:lang w:val="en-US" w:eastAsia="zh-CN"/>
        </w:rPr>
        <w:t>基准</w:t>
      </w:r>
      <w:r>
        <w:rPr>
          <w:rFonts w:hint="eastAsia" w:ascii="宋体" w:hAnsi="宋体" w:eastAsia="宋体" w:cs="宋体"/>
          <w:sz w:val="24"/>
          <w:szCs w:val="24"/>
        </w:rPr>
        <w:t>回归分析</w:t>
      </w:r>
      <w:r>
        <w:rPr>
          <w:rFonts w:hint="eastAsia" w:ascii="宋体" w:hAnsi="宋体" w:eastAsia="宋体" w:cs="宋体"/>
          <w:sz w:val="24"/>
          <w:szCs w:val="24"/>
          <w:lang w:eastAsia="zh-CN"/>
        </w:rPr>
        <w:t>。</w:t>
      </w:r>
      <w:r>
        <w:rPr>
          <w:rFonts w:hint="eastAsia" w:ascii="宋体" w:hAnsi="宋体" w:eastAsia="宋体" w:cs="宋体"/>
          <w:sz w:val="24"/>
          <w:szCs w:val="24"/>
        </w:rPr>
        <w:t>结果显示，在研究周期内</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控制控制企业特征、年份冲击和行业差异后，制造业提质增效水平与企业AI关注度呈显著正相关</w:t>
      </w:r>
      <w:r>
        <w:rPr>
          <w:rFonts w:hint="eastAsia" w:ascii="宋体" w:hAnsi="宋体" w:cs="宋体"/>
          <w:sz w:val="24"/>
          <w:szCs w:val="24"/>
          <w:lang w:val="en-US" w:eastAsia="zh-CN"/>
        </w:rPr>
        <w:t>，</w:t>
      </w:r>
      <w:r>
        <w:rPr>
          <w:rFonts w:ascii="宋体" w:hAnsi="宋体" w:eastAsia="宋体" w:cs="宋体"/>
          <w:sz w:val="24"/>
          <w:szCs w:val="24"/>
        </w:rPr>
        <w:t>AI 词频密度每提升1个单位，企业ROA 提升0.031个单位</w:t>
      </w:r>
      <w:r>
        <w:rPr>
          <w:rFonts w:hint="eastAsia" w:ascii="宋体" w:hAnsi="宋体" w:eastAsia="宋体" w:cs="宋体"/>
          <w:sz w:val="24"/>
          <w:szCs w:val="24"/>
          <w:lang w:val="en-US" w:eastAsia="zh-CN"/>
        </w:rPr>
        <w:t>。</w:t>
      </w:r>
    </w:p>
    <w:p w14:paraId="07F37D47">
      <w:pPr>
        <w:keepNext w:val="0"/>
        <w:keepLines w:val="0"/>
        <w:pageBreakBefore w:val="0"/>
        <w:widowControl/>
        <w:kinsoku/>
        <w:wordWrap/>
        <w:overflowPunct/>
        <w:topLinePunct w:val="0"/>
        <w:autoSpaceDE/>
        <w:autoSpaceDN/>
        <w:bidi w:val="0"/>
        <w:adjustRightInd/>
        <w:snapToGrid/>
        <w:textAlignment w:val="auto"/>
        <w:rPr>
          <w:rFonts w:hint="eastAsia" w:ascii="宋体" w:hAnsi="宋体" w:eastAsia="宋体" w:cs="宋体"/>
          <w:sz w:val="24"/>
          <w:szCs w:val="24"/>
        </w:rPr>
      </w:pPr>
      <w:r>
        <w:rPr>
          <w:rFonts w:hint="eastAsia" w:ascii="宋体" w:hAnsi="宋体" w:eastAsia="宋体" w:cs="宋体"/>
          <w:sz w:val="24"/>
          <w:szCs w:val="24"/>
        </w:rPr>
        <w:t>关键词：人工智能应用；制造业企业；提质增效；双向固定效应模型</w:t>
      </w:r>
    </w:p>
    <w:p w14:paraId="1D381D40">
      <w:pPr>
        <w:keepNext w:val="0"/>
        <w:keepLines w:val="0"/>
        <w:pageBreakBefore w:val="0"/>
        <w:widowControl/>
        <w:kinsoku/>
        <w:wordWrap/>
        <w:overflowPunct/>
        <w:topLinePunct w:val="0"/>
        <w:autoSpaceDE/>
        <w:autoSpaceDN/>
        <w:bidi w:val="0"/>
        <w:adjustRightInd/>
        <w:snapToGrid/>
        <w:textAlignment w:val="auto"/>
        <w:rPr>
          <w:rFonts w:hint="eastAsia" w:ascii="黑体" w:hAnsi="黑体" w:eastAsia="黑体" w:cs="黑体"/>
          <w:sz w:val="28"/>
          <w:szCs w:val="28"/>
        </w:rPr>
      </w:pPr>
    </w:p>
    <w:p w14:paraId="598466DC"/>
    <w:p w14:paraId="336593E3"/>
    <w:p w14:paraId="725555CB"/>
    <w:p w14:paraId="1AF03F95"/>
    <w:p w14:paraId="31EC1862"/>
    <w:p w14:paraId="72D33A7D"/>
    <w:p w14:paraId="0715A008"/>
    <w:p w14:paraId="64AEE30F"/>
    <w:p w14:paraId="37A0FC7E"/>
    <w:p w14:paraId="3504D90C"/>
    <w:p w14:paraId="36679836"/>
    <w:p w14:paraId="26C96DCB"/>
    <w:p w14:paraId="5DB40BF9"/>
    <w:p w14:paraId="2211B9E5"/>
    <w:p w14:paraId="58B13809"/>
    <w:sdt>
      <w:sdtPr>
        <w:rPr>
          <w:rFonts w:ascii="宋体" w:hAnsi="宋体" w:eastAsia="宋体" w:cs="Times New Roman"/>
          <w:kern w:val="2"/>
          <w:sz w:val="21"/>
          <w:szCs w:val="24"/>
          <w:lang w:val="en-US" w:eastAsia="zh-CN" w:bidi="ar-SA"/>
          <w14:ligatures w14:val="none"/>
        </w:rPr>
        <w:id w:val="147473877"/>
        <w15:color w:val="DBDBDB"/>
        <w:docPartObj>
          <w:docPartGallery w:val="Table of Contents"/>
          <w:docPartUnique/>
        </w:docPartObj>
      </w:sdtPr>
      <w:sdtContent>
        <w:p w14:paraId="2F04E301">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F919353">
          <w:pPr>
            <w:pStyle w:val="14"/>
            <w:tabs>
              <w:tab w:val="right" w:leader="underscore" w:pos="8306"/>
            </w:tabs>
          </w:pPr>
          <w:r>
            <w:fldChar w:fldCharType="begin"/>
          </w:r>
          <w:r>
            <w:instrText xml:space="preserve">TOC \o "1-9" \h \u </w:instrText>
          </w:r>
          <w:r>
            <w:fldChar w:fldCharType="separate"/>
          </w:r>
          <w:r>
            <w:fldChar w:fldCharType="begin"/>
          </w:r>
          <w:r>
            <w:instrText xml:space="preserve"> HYPERLINK \l _Toc7830 </w:instrText>
          </w:r>
          <w:r>
            <w:fldChar w:fldCharType="separate"/>
          </w:r>
          <w:r>
            <w:rPr>
              <w:rFonts w:hint="eastAsia" w:ascii="黑体" w:hAnsi="黑体" w:eastAsia="黑体"/>
              <w:szCs w:val="28"/>
            </w:rPr>
            <w:t>摘要</w:t>
          </w:r>
          <w:r>
            <w:tab/>
          </w:r>
          <w:r>
            <w:fldChar w:fldCharType="begin"/>
          </w:r>
          <w:r>
            <w:instrText xml:space="preserve"> PAGEREF _Toc7830 \h </w:instrText>
          </w:r>
          <w:r>
            <w:fldChar w:fldCharType="separate"/>
          </w:r>
          <w:r>
            <w:t>2</w:t>
          </w:r>
          <w:r>
            <w:fldChar w:fldCharType="end"/>
          </w:r>
          <w:r>
            <w:fldChar w:fldCharType="end"/>
          </w:r>
        </w:p>
        <w:p w14:paraId="72BFE69B">
          <w:pPr>
            <w:pStyle w:val="14"/>
            <w:tabs>
              <w:tab w:val="right" w:leader="underscore" w:pos="8306"/>
            </w:tabs>
          </w:pPr>
          <w:r>
            <w:fldChar w:fldCharType="begin"/>
          </w:r>
          <w:r>
            <w:instrText xml:space="preserve"> HYPERLINK \l _Toc337 </w:instrText>
          </w:r>
          <w:r>
            <w:fldChar w:fldCharType="separate"/>
          </w:r>
          <w:r>
            <w:rPr>
              <w:rFonts w:hint="eastAsia"/>
            </w:rPr>
            <w:t>一、 引言</w:t>
          </w:r>
          <w:r>
            <w:tab/>
          </w:r>
          <w:r>
            <w:fldChar w:fldCharType="begin"/>
          </w:r>
          <w:r>
            <w:instrText xml:space="preserve"> PAGEREF _Toc337 \h </w:instrText>
          </w:r>
          <w:r>
            <w:fldChar w:fldCharType="separate"/>
          </w:r>
          <w:r>
            <w:t>1</w:t>
          </w:r>
          <w:r>
            <w:fldChar w:fldCharType="end"/>
          </w:r>
          <w:r>
            <w:fldChar w:fldCharType="end"/>
          </w:r>
        </w:p>
        <w:p w14:paraId="3FB46ABD">
          <w:pPr>
            <w:pStyle w:val="17"/>
            <w:tabs>
              <w:tab w:val="right" w:leader="underscore" w:pos="8306"/>
            </w:tabs>
          </w:pPr>
          <w:r>
            <w:fldChar w:fldCharType="begin"/>
          </w:r>
          <w:r>
            <w:instrText xml:space="preserve"> HYPERLINK \l _Toc1975 </w:instrText>
          </w:r>
          <w:r>
            <w:fldChar w:fldCharType="separate"/>
          </w:r>
          <w:r>
            <w:rPr>
              <w:rFonts w:hint="eastAsia"/>
              <w:lang w:val="en-US" w:eastAsia="zh-CN"/>
            </w:rPr>
            <w:t>（一） 研究背景与意义</w:t>
          </w:r>
          <w:r>
            <w:tab/>
          </w:r>
          <w:r>
            <w:fldChar w:fldCharType="begin"/>
          </w:r>
          <w:r>
            <w:instrText xml:space="preserve"> PAGEREF _Toc1975 \h </w:instrText>
          </w:r>
          <w:r>
            <w:fldChar w:fldCharType="separate"/>
          </w:r>
          <w:r>
            <w:t>1</w:t>
          </w:r>
          <w:r>
            <w:fldChar w:fldCharType="end"/>
          </w:r>
          <w:r>
            <w:fldChar w:fldCharType="end"/>
          </w:r>
        </w:p>
        <w:p w14:paraId="64EEDC99">
          <w:pPr>
            <w:pStyle w:val="17"/>
            <w:tabs>
              <w:tab w:val="right" w:leader="underscore" w:pos="8306"/>
            </w:tabs>
          </w:pPr>
          <w:r>
            <w:fldChar w:fldCharType="begin"/>
          </w:r>
          <w:r>
            <w:instrText xml:space="preserve"> HYPERLINK \l _Toc17265 </w:instrText>
          </w:r>
          <w:r>
            <w:fldChar w:fldCharType="separate"/>
          </w:r>
          <w:r>
            <w:rPr>
              <w:rFonts w:hint="eastAsia"/>
            </w:rPr>
            <w:t xml:space="preserve">（二） </w:t>
          </w:r>
          <w:r>
            <w:rPr>
              <w:rFonts w:hint="eastAsia"/>
              <w:lang w:val="en-US" w:eastAsia="zh-CN"/>
            </w:rPr>
            <w:t>研究现状综述</w:t>
          </w:r>
          <w:r>
            <w:tab/>
          </w:r>
          <w:r>
            <w:fldChar w:fldCharType="begin"/>
          </w:r>
          <w:r>
            <w:instrText xml:space="preserve"> PAGEREF _Toc17265 \h </w:instrText>
          </w:r>
          <w:r>
            <w:fldChar w:fldCharType="separate"/>
          </w:r>
          <w:r>
            <w:t>2</w:t>
          </w:r>
          <w:r>
            <w:fldChar w:fldCharType="end"/>
          </w:r>
          <w:r>
            <w:fldChar w:fldCharType="end"/>
          </w:r>
        </w:p>
        <w:p w14:paraId="405BDDEB">
          <w:pPr>
            <w:pStyle w:val="11"/>
            <w:tabs>
              <w:tab w:val="right" w:leader="underscore" w:pos="8306"/>
            </w:tabs>
          </w:pPr>
          <w:r>
            <w:fldChar w:fldCharType="begin"/>
          </w:r>
          <w:r>
            <w:instrText xml:space="preserve"> HYPERLINK \l _Toc21362 </w:instrText>
          </w:r>
          <w:r>
            <w:fldChar w:fldCharType="separate"/>
          </w:r>
          <w:r>
            <w:rPr>
              <w:rFonts w:hint="eastAsia"/>
            </w:rPr>
            <w:t>1.</w:t>
          </w:r>
          <w:r>
            <w:t>基于传统计量模型的数字化与生产率研究</w:t>
          </w:r>
          <w:r>
            <w:tab/>
          </w:r>
          <w:r>
            <w:fldChar w:fldCharType="begin"/>
          </w:r>
          <w:r>
            <w:instrText xml:space="preserve"> PAGEREF _Toc21362 \h </w:instrText>
          </w:r>
          <w:r>
            <w:fldChar w:fldCharType="separate"/>
          </w:r>
          <w:r>
            <w:t>2</w:t>
          </w:r>
          <w:r>
            <w:fldChar w:fldCharType="end"/>
          </w:r>
          <w:r>
            <w:fldChar w:fldCharType="end"/>
          </w:r>
        </w:p>
        <w:p w14:paraId="16203E5D">
          <w:pPr>
            <w:pStyle w:val="11"/>
            <w:tabs>
              <w:tab w:val="right" w:leader="underscore" w:pos="8306"/>
            </w:tabs>
          </w:pPr>
          <w:r>
            <w:fldChar w:fldCharType="begin"/>
          </w:r>
          <w:r>
            <w:instrText xml:space="preserve"> HYPERLINK \l _Toc2578 </w:instrText>
          </w:r>
          <w:r>
            <w:fldChar w:fldCharType="separate"/>
          </w:r>
          <w:r>
            <w:t>2.</w:t>
          </w:r>
          <w:r>
            <w:rPr>
              <w:rFonts w:ascii="宋体" w:hAnsi="宋体" w:eastAsia="宋体" w:cs="宋体"/>
              <w:szCs w:val="24"/>
            </w:rPr>
            <w:t>基于文本挖掘与词频统计的变量测度方法</w:t>
          </w:r>
          <w:r>
            <w:tab/>
          </w:r>
          <w:r>
            <w:fldChar w:fldCharType="begin"/>
          </w:r>
          <w:r>
            <w:instrText xml:space="preserve"> PAGEREF _Toc2578 \h </w:instrText>
          </w:r>
          <w:r>
            <w:fldChar w:fldCharType="separate"/>
          </w:r>
          <w:r>
            <w:t>2</w:t>
          </w:r>
          <w:r>
            <w:fldChar w:fldCharType="end"/>
          </w:r>
          <w:r>
            <w:fldChar w:fldCharType="end"/>
          </w:r>
        </w:p>
        <w:p w14:paraId="2FA44E19">
          <w:pPr>
            <w:pStyle w:val="11"/>
            <w:tabs>
              <w:tab w:val="right" w:leader="underscore" w:pos="8306"/>
            </w:tabs>
          </w:pPr>
          <w:r>
            <w:fldChar w:fldCharType="begin"/>
          </w:r>
          <w:r>
            <w:instrText xml:space="preserve"> HYPERLINK \l _Toc25012 </w:instrText>
          </w:r>
          <w:r>
            <w:fldChar w:fldCharType="separate"/>
          </w:r>
          <w:r>
            <w:t>3.</w:t>
          </w:r>
          <w:r>
            <w:rPr>
              <w:rFonts w:ascii="宋体" w:hAnsi="宋体" w:eastAsia="宋体" w:cs="宋体"/>
              <w:szCs w:val="24"/>
            </w:rPr>
            <w:t>基于中介效应与调节效应的机制识别方法</w:t>
          </w:r>
          <w:r>
            <w:tab/>
          </w:r>
          <w:r>
            <w:fldChar w:fldCharType="begin"/>
          </w:r>
          <w:r>
            <w:instrText xml:space="preserve"> PAGEREF _Toc25012 \h </w:instrText>
          </w:r>
          <w:r>
            <w:fldChar w:fldCharType="separate"/>
          </w:r>
          <w:r>
            <w:t>2</w:t>
          </w:r>
          <w:r>
            <w:fldChar w:fldCharType="end"/>
          </w:r>
          <w:r>
            <w:fldChar w:fldCharType="end"/>
          </w:r>
        </w:p>
        <w:p w14:paraId="56EA403F">
          <w:pPr>
            <w:pStyle w:val="11"/>
            <w:tabs>
              <w:tab w:val="right" w:leader="underscore" w:pos="8306"/>
            </w:tabs>
          </w:pPr>
          <w:r>
            <w:fldChar w:fldCharType="begin"/>
          </w:r>
          <w:r>
            <w:instrText xml:space="preserve"> HYPERLINK \l _Toc6653 </w:instrText>
          </w:r>
          <w:r>
            <w:fldChar w:fldCharType="separate"/>
          </w:r>
          <w:r>
            <w:t>4.</w:t>
          </w:r>
          <w:r>
            <w:rPr>
              <w:rFonts w:ascii="宋体" w:hAnsi="宋体" w:eastAsia="宋体" w:cs="宋体"/>
              <w:szCs w:val="24"/>
            </w:rPr>
            <w:t>基于稳健性与内生性处理的现代统计推断方法</w:t>
          </w:r>
          <w:r>
            <w:tab/>
          </w:r>
          <w:r>
            <w:fldChar w:fldCharType="begin"/>
          </w:r>
          <w:r>
            <w:instrText xml:space="preserve"> PAGEREF _Toc6653 \h </w:instrText>
          </w:r>
          <w:r>
            <w:fldChar w:fldCharType="separate"/>
          </w:r>
          <w:r>
            <w:t>2</w:t>
          </w:r>
          <w:r>
            <w:fldChar w:fldCharType="end"/>
          </w:r>
          <w:r>
            <w:fldChar w:fldCharType="end"/>
          </w:r>
        </w:p>
        <w:p w14:paraId="772F1428">
          <w:pPr>
            <w:pStyle w:val="17"/>
            <w:tabs>
              <w:tab w:val="right" w:leader="underscore" w:pos="8306"/>
            </w:tabs>
          </w:pPr>
          <w:r>
            <w:fldChar w:fldCharType="begin"/>
          </w:r>
          <w:r>
            <w:instrText xml:space="preserve"> HYPERLINK \l _Toc24200 </w:instrText>
          </w:r>
          <w:r>
            <w:fldChar w:fldCharType="separate"/>
          </w:r>
          <w:r>
            <w:rPr>
              <w:rFonts w:hint="eastAsia"/>
              <w:lang w:eastAsia="zh-CN"/>
            </w:rPr>
            <w:t>（</w:t>
          </w:r>
          <w:r>
            <w:rPr>
              <w:rFonts w:hint="eastAsia"/>
              <w:lang w:val="en-US" w:eastAsia="zh-CN"/>
            </w:rPr>
            <w:t>三）研究难点</w:t>
          </w:r>
          <w:r>
            <w:tab/>
          </w:r>
          <w:r>
            <w:fldChar w:fldCharType="begin"/>
          </w:r>
          <w:r>
            <w:instrText xml:space="preserve"> PAGEREF _Toc24200 \h </w:instrText>
          </w:r>
          <w:r>
            <w:fldChar w:fldCharType="separate"/>
          </w:r>
          <w:r>
            <w:t>3</w:t>
          </w:r>
          <w:r>
            <w:fldChar w:fldCharType="end"/>
          </w:r>
          <w:r>
            <w:fldChar w:fldCharType="end"/>
          </w:r>
        </w:p>
        <w:p w14:paraId="596E96B3">
          <w:pPr>
            <w:pStyle w:val="17"/>
            <w:tabs>
              <w:tab w:val="right" w:leader="underscore" w:pos="8306"/>
            </w:tabs>
          </w:pPr>
          <w:r>
            <w:fldChar w:fldCharType="begin"/>
          </w:r>
          <w:r>
            <w:instrText xml:space="preserve"> HYPERLINK \l _Toc2022 </w:instrText>
          </w:r>
          <w:r>
            <w:fldChar w:fldCharType="separate"/>
          </w:r>
          <w:r>
            <w:rPr>
              <w:rFonts w:hint="eastAsia"/>
              <w:lang w:val="en-US" w:eastAsia="zh-CN"/>
            </w:rPr>
            <w:t>（四）本文研究内容与创新</w:t>
          </w:r>
          <w:r>
            <w:tab/>
          </w:r>
          <w:r>
            <w:fldChar w:fldCharType="begin"/>
          </w:r>
          <w:r>
            <w:instrText xml:space="preserve"> PAGEREF _Toc2022 \h </w:instrText>
          </w:r>
          <w:r>
            <w:fldChar w:fldCharType="separate"/>
          </w:r>
          <w:r>
            <w:t>4</w:t>
          </w:r>
          <w:r>
            <w:fldChar w:fldCharType="end"/>
          </w:r>
          <w:r>
            <w:fldChar w:fldCharType="end"/>
          </w:r>
        </w:p>
        <w:p w14:paraId="599AD0F7">
          <w:pPr>
            <w:pStyle w:val="11"/>
            <w:tabs>
              <w:tab w:val="right" w:leader="underscore" w:pos="8306"/>
            </w:tabs>
          </w:pPr>
          <w:r>
            <w:fldChar w:fldCharType="begin"/>
          </w:r>
          <w:r>
            <w:instrText xml:space="preserve"> HYPERLINK \l _Toc10562 </w:instrText>
          </w:r>
          <w:r>
            <w:fldChar w:fldCharType="separate"/>
          </w:r>
          <w:r>
            <w:t>1.</w:t>
          </w:r>
          <w:r>
            <w:rPr>
              <w:rFonts w:hint="eastAsia"/>
              <w:lang w:val="en-US" w:eastAsia="zh-CN"/>
            </w:rPr>
            <w:t>主要</w:t>
          </w:r>
          <w:r>
            <w:t>研究内容</w:t>
          </w:r>
          <w:r>
            <w:tab/>
          </w:r>
          <w:r>
            <w:fldChar w:fldCharType="begin"/>
          </w:r>
          <w:r>
            <w:instrText xml:space="preserve"> PAGEREF _Toc10562 \h </w:instrText>
          </w:r>
          <w:r>
            <w:fldChar w:fldCharType="separate"/>
          </w:r>
          <w:r>
            <w:t>4</w:t>
          </w:r>
          <w:r>
            <w:fldChar w:fldCharType="end"/>
          </w:r>
          <w:r>
            <w:fldChar w:fldCharType="end"/>
          </w:r>
        </w:p>
        <w:p w14:paraId="4B721512">
          <w:pPr>
            <w:pStyle w:val="11"/>
            <w:tabs>
              <w:tab w:val="right" w:leader="underscore" w:pos="8306"/>
            </w:tabs>
          </w:pPr>
          <w:r>
            <w:fldChar w:fldCharType="begin"/>
          </w:r>
          <w:r>
            <w:instrText xml:space="preserve"> HYPERLINK \l _Toc9595 </w:instrText>
          </w:r>
          <w:r>
            <w:fldChar w:fldCharType="separate"/>
          </w:r>
          <w:r>
            <w:rPr>
              <w:rFonts w:hint="eastAsia"/>
              <w:bCs w:val="0"/>
              <w:lang w:eastAsia="zh-CN"/>
            </w:rPr>
            <w:t>（</w:t>
          </w:r>
          <w:r>
            <w:rPr>
              <w:rFonts w:hint="eastAsia"/>
              <w:bCs w:val="0"/>
              <w:lang w:val="en-US" w:eastAsia="zh-CN"/>
            </w:rPr>
            <w:t>1）</w:t>
          </w:r>
          <w:r>
            <w:rPr>
              <w:rFonts w:ascii="宋体" w:hAnsi="宋体" w:eastAsia="宋体" w:cs="宋体"/>
              <w:bCs w:val="0"/>
              <w:szCs w:val="24"/>
            </w:rPr>
            <w:t>数据采集与预处理</w:t>
          </w:r>
          <w:r>
            <w:tab/>
          </w:r>
          <w:r>
            <w:fldChar w:fldCharType="begin"/>
          </w:r>
          <w:r>
            <w:instrText xml:space="preserve"> PAGEREF _Toc9595 \h </w:instrText>
          </w:r>
          <w:r>
            <w:fldChar w:fldCharType="separate"/>
          </w:r>
          <w:r>
            <w:t>4</w:t>
          </w:r>
          <w:r>
            <w:fldChar w:fldCharType="end"/>
          </w:r>
          <w:r>
            <w:fldChar w:fldCharType="end"/>
          </w:r>
        </w:p>
        <w:p w14:paraId="23DA86F1">
          <w:pPr>
            <w:pStyle w:val="11"/>
            <w:tabs>
              <w:tab w:val="right" w:leader="underscore" w:pos="8306"/>
            </w:tabs>
          </w:pPr>
          <w:r>
            <w:fldChar w:fldCharType="begin"/>
          </w:r>
          <w:r>
            <w:instrText xml:space="preserve"> HYPERLINK \l _Toc9689 </w:instrText>
          </w:r>
          <w:r>
            <w:fldChar w:fldCharType="separate"/>
          </w:r>
          <w:r>
            <w:rPr>
              <w:rFonts w:hint="eastAsia"/>
              <w:bCs w:val="0"/>
              <w:lang w:eastAsia="zh-CN"/>
            </w:rPr>
            <w:t>（</w:t>
          </w:r>
          <w:r>
            <w:rPr>
              <w:rFonts w:hint="eastAsia"/>
              <w:bCs w:val="0"/>
              <w:lang w:val="en-US" w:eastAsia="zh-CN"/>
            </w:rPr>
            <w:t>2）</w:t>
          </w:r>
          <w:r>
            <w:rPr>
              <w:rFonts w:ascii="宋体" w:hAnsi="宋体" w:eastAsia="宋体" w:cs="宋体"/>
              <w:bCs w:val="0"/>
              <w:szCs w:val="24"/>
            </w:rPr>
            <w:t>核心变量构造</w:t>
          </w:r>
          <w:r>
            <w:tab/>
          </w:r>
          <w:r>
            <w:fldChar w:fldCharType="begin"/>
          </w:r>
          <w:r>
            <w:instrText xml:space="preserve"> PAGEREF _Toc9689 \h </w:instrText>
          </w:r>
          <w:r>
            <w:fldChar w:fldCharType="separate"/>
          </w:r>
          <w:r>
            <w:t>4</w:t>
          </w:r>
          <w:r>
            <w:fldChar w:fldCharType="end"/>
          </w:r>
          <w:r>
            <w:fldChar w:fldCharType="end"/>
          </w:r>
        </w:p>
        <w:p w14:paraId="045D80D3">
          <w:pPr>
            <w:pStyle w:val="14"/>
            <w:tabs>
              <w:tab w:val="right" w:leader="underscore" w:pos="8306"/>
            </w:tabs>
          </w:pPr>
          <w:r>
            <w:fldChar w:fldCharType="begin"/>
          </w:r>
          <w:r>
            <w:instrText xml:space="preserve"> HYPERLINK \l _Toc17361 </w:instrText>
          </w:r>
          <w:r>
            <w:fldChar w:fldCharType="separate"/>
          </w:r>
          <w:r>
            <w:rPr>
              <w:rFonts w:hint="eastAsia"/>
              <w:lang w:val="en-US" w:eastAsia="zh-CN"/>
            </w:rPr>
            <w:t>二、 数据处理</w:t>
          </w:r>
          <w:r>
            <w:tab/>
          </w:r>
          <w:r>
            <w:fldChar w:fldCharType="begin"/>
          </w:r>
          <w:r>
            <w:instrText xml:space="preserve"> PAGEREF _Toc17361 \h </w:instrText>
          </w:r>
          <w:r>
            <w:fldChar w:fldCharType="separate"/>
          </w:r>
          <w:r>
            <w:t>6</w:t>
          </w:r>
          <w:r>
            <w:fldChar w:fldCharType="end"/>
          </w:r>
          <w:r>
            <w:fldChar w:fldCharType="end"/>
          </w:r>
        </w:p>
        <w:p w14:paraId="19F8756E">
          <w:pPr>
            <w:pStyle w:val="17"/>
            <w:tabs>
              <w:tab w:val="right" w:leader="underscore" w:pos="8306"/>
            </w:tabs>
          </w:pPr>
          <w:r>
            <w:fldChar w:fldCharType="begin"/>
          </w:r>
          <w:r>
            <w:instrText xml:space="preserve"> HYPERLINK \l _Toc21024 </w:instrText>
          </w:r>
          <w:r>
            <w:fldChar w:fldCharType="separate"/>
          </w:r>
          <w:r>
            <w:rPr>
              <w:rFonts w:hint="eastAsia"/>
            </w:rPr>
            <w:t>（一）数据来源与样本筛选</w:t>
          </w:r>
          <w:r>
            <w:tab/>
          </w:r>
          <w:r>
            <w:fldChar w:fldCharType="begin"/>
          </w:r>
          <w:r>
            <w:instrText xml:space="preserve"> PAGEREF _Toc21024 \h </w:instrText>
          </w:r>
          <w:r>
            <w:fldChar w:fldCharType="separate"/>
          </w:r>
          <w:r>
            <w:t>6</w:t>
          </w:r>
          <w:r>
            <w:fldChar w:fldCharType="end"/>
          </w:r>
          <w:r>
            <w:fldChar w:fldCharType="end"/>
          </w:r>
        </w:p>
        <w:p w14:paraId="674C8D79">
          <w:pPr>
            <w:pStyle w:val="17"/>
            <w:tabs>
              <w:tab w:val="right" w:leader="underscore" w:pos="8306"/>
            </w:tabs>
          </w:pPr>
          <w:r>
            <w:fldChar w:fldCharType="begin"/>
          </w:r>
          <w:r>
            <w:instrText xml:space="preserve"> HYPERLINK \l _Toc24123 </w:instrText>
          </w:r>
          <w:r>
            <w:fldChar w:fldCharType="separate"/>
          </w:r>
          <w:r>
            <w:rPr>
              <w:rFonts w:hint="eastAsia"/>
            </w:rPr>
            <w:t>（</w:t>
          </w:r>
          <w:r>
            <w:rPr>
              <w:rFonts w:hint="eastAsia"/>
              <w:lang w:val="en-US" w:eastAsia="zh-CN"/>
            </w:rPr>
            <w:t>二</w:t>
          </w:r>
          <w:r>
            <w:rPr>
              <w:rFonts w:hint="eastAsia"/>
            </w:rPr>
            <w:t>）数据预处理</w:t>
          </w:r>
          <w:r>
            <w:tab/>
          </w:r>
          <w:r>
            <w:fldChar w:fldCharType="begin"/>
          </w:r>
          <w:r>
            <w:instrText xml:space="preserve"> PAGEREF _Toc24123 \h </w:instrText>
          </w:r>
          <w:r>
            <w:fldChar w:fldCharType="separate"/>
          </w:r>
          <w:r>
            <w:t>7</w:t>
          </w:r>
          <w:r>
            <w:fldChar w:fldCharType="end"/>
          </w:r>
          <w:r>
            <w:fldChar w:fldCharType="end"/>
          </w:r>
        </w:p>
        <w:p w14:paraId="6B2E25C0">
          <w:pPr>
            <w:pStyle w:val="11"/>
            <w:tabs>
              <w:tab w:val="right" w:leader="underscore" w:pos="8306"/>
            </w:tabs>
          </w:pPr>
          <w:r>
            <w:fldChar w:fldCharType="begin"/>
          </w:r>
          <w:r>
            <w:instrText xml:space="preserve"> HYPERLINK \l _Toc1475 </w:instrText>
          </w:r>
          <w:r>
            <w:fldChar w:fldCharType="separate"/>
          </w:r>
          <w:r>
            <w:rPr>
              <w:rFonts w:hint="eastAsia"/>
            </w:rPr>
            <w:t>1.缺失值与异常值处理</w:t>
          </w:r>
          <w:r>
            <w:tab/>
          </w:r>
          <w:r>
            <w:fldChar w:fldCharType="begin"/>
          </w:r>
          <w:r>
            <w:instrText xml:space="preserve"> PAGEREF _Toc1475 \h </w:instrText>
          </w:r>
          <w:r>
            <w:fldChar w:fldCharType="separate"/>
          </w:r>
          <w:r>
            <w:t>7</w:t>
          </w:r>
          <w:r>
            <w:fldChar w:fldCharType="end"/>
          </w:r>
          <w:r>
            <w:fldChar w:fldCharType="end"/>
          </w:r>
        </w:p>
        <w:p w14:paraId="19DB31B1">
          <w:pPr>
            <w:pStyle w:val="11"/>
            <w:tabs>
              <w:tab w:val="right" w:leader="underscore" w:pos="8306"/>
            </w:tabs>
          </w:pPr>
          <w:r>
            <w:fldChar w:fldCharType="begin"/>
          </w:r>
          <w:r>
            <w:instrText xml:space="preserve"> HYPERLINK \l _Toc6351 </w:instrText>
          </w:r>
          <w:r>
            <w:fldChar w:fldCharType="separate"/>
          </w:r>
          <w:r>
            <w:rPr>
              <w:rFonts w:hint="eastAsia"/>
            </w:rPr>
            <w:t>2. 多重共线性检验</w:t>
          </w:r>
          <w:r>
            <w:tab/>
          </w:r>
          <w:r>
            <w:fldChar w:fldCharType="begin"/>
          </w:r>
          <w:r>
            <w:instrText xml:space="preserve"> PAGEREF _Toc6351 \h </w:instrText>
          </w:r>
          <w:r>
            <w:fldChar w:fldCharType="separate"/>
          </w:r>
          <w:r>
            <w:t>8</w:t>
          </w:r>
          <w:r>
            <w:fldChar w:fldCharType="end"/>
          </w:r>
          <w:r>
            <w:fldChar w:fldCharType="end"/>
          </w:r>
        </w:p>
        <w:p w14:paraId="4DA97DA0">
          <w:pPr>
            <w:pStyle w:val="11"/>
            <w:tabs>
              <w:tab w:val="right" w:leader="underscore" w:pos="8306"/>
            </w:tabs>
          </w:pPr>
          <w:r>
            <w:fldChar w:fldCharType="begin"/>
          </w:r>
          <w:r>
            <w:instrText xml:space="preserve"> HYPERLINK \l _Toc15154 </w:instrText>
          </w:r>
          <w:r>
            <w:fldChar w:fldCharType="separate"/>
          </w:r>
          <w:r>
            <w:rPr>
              <w:rFonts w:hint="eastAsia"/>
              <w:bCs w:val="0"/>
            </w:rPr>
            <w:t>在实证计量研究中，自变量之间若存在高度多重共线性会</w:t>
          </w:r>
          <w:r>
            <w:rPr>
              <w:rFonts w:hint="eastAsia"/>
              <w:bCs w:val="0"/>
              <w:lang w:val="en-US" w:eastAsia="zh-CN"/>
            </w:rPr>
            <w:t>导致</w:t>
          </w:r>
          <w:r>
            <w:rPr>
              <w:rFonts w:hint="eastAsia"/>
              <w:bCs w:val="0"/>
            </w:rPr>
            <w:t>回归系数估计偏误、显著性检验失效、模型解释性弱化，严重降低实证结论的科学性与可信度。为规避上述问题，保证模型参数估计的有效性，本文选用方差膨胀因子（VIF）开展多重共线性检验，参照主流实证研究判定标准，以 VIF＜5 作为无严重多重共线性的临界依据。</w:t>
          </w:r>
          <w:r>
            <w:tab/>
          </w:r>
          <w:r>
            <w:fldChar w:fldCharType="begin"/>
          </w:r>
          <w:r>
            <w:instrText xml:space="preserve"> PAGEREF _Toc15154 \h </w:instrText>
          </w:r>
          <w:r>
            <w:fldChar w:fldCharType="separate"/>
          </w:r>
          <w:r>
            <w:t>8</w:t>
          </w:r>
          <w:r>
            <w:fldChar w:fldCharType="end"/>
          </w:r>
          <w:r>
            <w:fldChar w:fldCharType="end"/>
          </w:r>
        </w:p>
        <w:p w14:paraId="2E6CD41D">
          <w:pPr>
            <w:pStyle w:val="11"/>
            <w:tabs>
              <w:tab w:val="right" w:leader="underscore" w:pos="8306"/>
            </w:tabs>
          </w:pPr>
          <w:r>
            <w:fldChar w:fldCharType="begin"/>
          </w:r>
          <w:r>
            <w:instrText xml:space="preserve"> HYPERLINK \l _Toc6182 </w:instrText>
          </w:r>
          <w:r>
            <w:fldChar w:fldCharType="separate"/>
          </w:r>
          <w:r>
            <w:rPr>
              <w:rFonts w:hint="eastAsia"/>
              <w:bCs w:val="0"/>
            </w:rPr>
            <w:t>检验结果显示：年报人工智能词频（1.143）、企业规模（1.458）、资产负债率（1.328）、研发强度（1.211）、企业年龄（1.341）、营业收入增长率（1.023）的 VIF 值均处于 1.023—1.458 之间，远低于临界值 5。表明各变量线性相关程度弱，变量组合合理，无多重共线性干扰，为后续实证分析提供可靠模型基础。</w:t>
          </w:r>
          <w:r>
            <w:tab/>
          </w:r>
          <w:r>
            <w:fldChar w:fldCharType="begin"/>
          </w:r>
          <w:r>
            <w:instrText xml:space="preserve"> PAGEREF _Toc6182 \h </w:instrText>
          </w:r>
          <w:r>
            <w:fldChar w:fldCharType="separate"/>
          </w:r>
          <w:r>
            <w:t>8</w:t>
          </w:r>
          <w:r>
            <w:fldChar w:fldCharType="end"/>
          </w:r>
          <w:r>
            <w:fldChar w:fldCharType="end"/>
          </w:r>
        </w:p>
        <w:p w14:paraId="59F6956B">
          <w:pPr>
            <w:pStyle w:val="17"/>
            <w:tabs>
              <w:tab w:val="right" w:leader="underscore" w:pos="8306"/>
            </w:tabs>
          </w:pPr>
          <w:r>
            <w:fldChar w:fldCharType="begin"/>
          </w:r>
          <w:r>
            <w:instrText xml:space="preserve"> HYPERLINK \l _Toc28897 </w:instrText>
          </w:r>
          <w:r>
            <w:fldChar w:fldCharType="separate"/>
          </w:r>
          <w:r>
            <w:rPr>
              <w:rFonts w:hint="eastAsia"/>
            </w:rPr>
            <w:t>（</w:t>
          </w:r>
          <w:r>
            <w:rPr>
              <w:rFonts w:hint="eastAsia"/>
              <w:lang w:val="en-US" w:eastAsia="zh-CN"/>
            </w:rPr>
            <w:t>三</w:t>
          </w:r>
          <w:r>
            <w:rPr>
              <w:rFonts w:hint="eastAsia"/>
            </w:rPr>
            <w:t>）描述性统计</w:t>
          </w:r>
          <w:r>
            <w:tab/>
          </w:r>
          <w:r>
            <w:fldChar w:fldCharType="begin"/>
          </w:r>
          <w:r>
            <w:instrText xml:space="preserve"> PAGEREF _Toc28897 \h </w:instrText>
          </w:r>
          <w:r>
            <w:fldChar w:fldCharType="separate"/>
          </w:r>
          <w:r>
            <w:t>8</w:t>
          </w:r>
          <w:r>
            <w:fldChar w:fldCharType="end"/>
          </w:r>
          <w:r>
            <w:fldChar w:fldCharType="end"/>
          </w:r>
        </w:p>
        <w:p w14:paraId="5E34C101">
          <w:pPr>
            <w:pStyle w:val="11"/>
            <w:tabs>
              <w:tab w:val="right" w:leader="underscore" w:pos="8306"/>
            </w:tabs>
          </w:pPr>
          <w:r>
            <w:fldChar w:fldCharType="begin"/>
          </w:r>
          <w:r>
            <w:instrText xml:space="preserve"> HYPERLINK \l _Toc9248 </w:instrText>
          </w:r>
          <w:r>
            <w:fldChar w:fldCharType="separate"/>
          </w:r>
          <w:r>
            <w:rPr>
              <w:rFonts w:hint="eastAsia" w:ascii="宋体" w:hAnsi="宋体" w:eastAsia="宋体" w:cs="宋体"/>
              <w:kern w:val="0"/>
              <w:szCs w:val="24"/>
              <w:lang w:val="en-US" w:eastAsia="zh-CN" w:bidi="ar"/>
              <w14:ligatures w14:val="none"/>
            </w:rPr>
            <w:t>为直观反映核心变量的分布特征，本文对主要变量进行描述性统计。结果显示，提质增效指数均值趋近于 0，标准差为 0.794，说明企业间高质量发展水平存在明显分化。人工智能应用指数均值为 - 0.017，标准差为 0.718，反映企业智能化投入与战略关注差异显著。全要素生产率均值为 7.709，整体处于合理区间。企业规模对数均值为 21.984，分布较为集中；资产负债率均值为 0.392，整体负债水平适中。研发强度均值为 2.022，离散程度较大，与制造业企业研发投入差异明显的现实一致。企业年龄均值为 9.114，营业收入增长率均值为 2.685，部分企业呈现高增长特征。整体来看，各变量分布符合理论预期，无异常取值，满足后续回归建模要求。</w:t>
          </w:r>
          <w:r>
            <w:tab/>
          </w:r>
          <w:r>
            <w:fldChar w:fldCharType="begin"/>
          </w:r>
          <w:r>
            <w:instrText xml:space="preserve"> PAGEREF _Toc9248 \h </w:instrText>
          </w:r>
          <w:r>
            <w:fldChar w:fldCharType="separate"/>
          </w:r>
          <w:r>
            <w:t>9</w:t>
          </w:r>
          <w:r>
            <w:fldChar w:fldCharType="end"/>
          </w:r>
          <w:r>
            <w:fldChar w:fldCharType="end"/>
          </w:r>
        </w:p>
        <w:p w14:paraId="2BC1D950">
          <w:pPr>
            <w:pStyle w:val="11"/>
            <w:tabs>
              <w:tab w:val="right" w:leader="underscore" w:pos="8306"/>
            </w:tabs>
          </w:pPr>
          <w:r>
            <w:fldChar w:fldCharType="begin"/>
          </w:r>
          <w:r>
            <w:instrText xml:space="preserve"> HYPERLINK \l _Toc28034 </w:instrText>
          </w:r>
          <w:r>
            <w:fldChar w:fldCharType="separate"/>
          </w:r>
          <w:r>
            <w:rPr>
              <w:rFonts w:hint="eastAsia" w:ascii="宋体" w:hAnsi="宋体" w:eastAsia="宋体" w:cs="宋体"/>
              <w:kern w:val="0"/>
              <w:szCs w:val="24"/>
              <w:lang w:val="en-US" w:eastAsia="zh-CN" w:bidi="ar"/>
              <w14:ligatures w14:val="none"/>
            </w:rPr>
            <w:t>表格</w:t>
          </w:r>
          <w:r>
            <w:rPr>
              <w:rFonts w:hint="eastAsia" w:ascii="宋体" w:hAnsi="宋体" w:cs="宋体"/>
              <w:kern w:val="0"/>
              <w:szCs w:val="24"/>
              <w:lang w:val="en-US" w:eastAsia="zh-CN" w:bidi="ar"/>
              <w14:ligatures w14:val="none"/>
            </w:rPr>
            <w:t xml:space="preserve">3 </w:t>
          </w:r>
          <w:r>
            <w:rPr>
              <w:rFonts w:ascii="宋体" w:hAnsi="宋体" w:eastAsia="宋体" w:cs="宋体"/>
              <w:szCs w:val="24"/>
            </w:rPr>
            <w:t>主要变量描述性统计</w:t>
          </w:r>
          <w:r>
            <w:tab/>
          </w:r>
          <w:r>
            <w:fldChar w:fldCharType="begin"/>
          </w:r>
          <w:r>
            <w:instrText xml:space="preserve"> PAGEREF _Toc28034 \h </w:instrText>
          </w:r>
          <w:r>
            <w:fldChar w:fldCharType="separate"/>
          </w:r>
          <w:r>
            <w:t>9</w:t>
          </w:r>
          <w:r>
            <w:fldChar w:fldCharType="end"/>
          </w:r>
          <w:r>
            <w:fldChar w:fldCharType="end"/>
          </w:r>
        </w:p>
        <w:p w14:paraId="04E80A80">
          <w:pPr>
            <w:pStyle w:val="14"/>
            <w:tabs>
              <w:tab w:val="right" w:leader="underscore" w:pos="8306"/>
            </w:tabs>
          </w:pPr>
          <w:r>
            <w:fldChar w:fldCharType="begin"/>
          </w:r>
          <w:r>
            <w:instrText xml:space="preserve"> HYPERLINK \l _Toc21932 </w:instrText>
          </w:r>
          <w:r>
            <w:fldChar w:fldCharType="separate"/>
          </w:r>
          <w:r>
            <w:rPr>
              <w:rFonts w:hint="eastAsia"/>
              <w:lang w:val="en-US" w:eastAsia="zh-CN"/>
            </w:rPr>
            <w:t>三、 模型建立</w:t>
          </w:r>
          <w:r>
            <w:tab/>
          </w:r>
          <w:r>
            <w:fldChar w:fldCharType="begin"/>
          </w:r>
          <w:r>
            <w:instrText xml:space="preserve"> PAGEREF _Toc21932 \h </w:instrText>
          </w:r>
          <w:r>
            <w:fldChar w:fldCharType="separate"/>
          </w:r>
          <w:r>
            <w:t>9</w:t>
          </w:r>
          <w:r>
            <w:fldChar w:fldCharType="end"/>
          </w:r>
          <w:r>
            <w:fldChar w:fldCharType="end"/>
          </w:r>
        </w:p>
        <w:p w14:paraId="32DF357F">
          <w:pPr>
            <w:pStyle w:val="17"/>
            <w:tabs>
              <w:tab w:val="right" w:leader="underscore" w:pos="8306"/>
            </w:tabs>
          </w:pPr>
          <w:r>
            <w:fldChar w:fldCharType="begin"/>
          </w:r>
          <w:r>
            <w:instrText xml:space="preserve"> HYPERLINK \l _Toc18221 </w:instrText>
          </w:r>
          <w:r>
            <w:fldChar w:fldCharType="separate"/>
          </w:r>
          <w:r>
            <w:rPr>
              <w:rFonts w:hint="eastAsia"/>
            </w:rPr>
            <w:t>（一）模型设定依据</w:t>
          </w:r>
          <w:r>
            <w:tab/>
          </w:r>
          <w:r>
            <w:fldChar w:fldCharType="begin"/>
          </w:r>
          <w:r>
            <w:instrText xml:space="preserve"> PAGEREF _Toc18221 \h </w:instrText>
          </w:r>
          <w:r>
            <w:fldChar w:fldCharType="separate"/>
          </w:r>
          <w:r>
            <w:t>9</w:t>
          </w:r>
          <w:r>
            <w:fldChar w:fldCharType="end"/>
          </w:r>
          <w:r>
            <w:fldChar w:fldCharType="end"/>
          </w:r>
        </w:p>
        <w:p w14:paraId="0393D0C1">
          <w:pPr>
            <w:pStyle w:val="17"/>
            <w:tabs>
              <w:tab w:val="right" w:leader="underscore" w:pos="8306"/>
            </w:tabs>
          </w:pPr>
          <w:r>
            <w:fldChar w:fldCharType="begin"/>
          </w:r>
          <w:r>
            <w:instrText xml:space="preserve"> HYPERLINK \l _Toc20451 </w:instrText>
          </w:r>
          <w:r>
            <w:fldChar w:fldCharType="separate"/>
          </w:r>
          <w:r>
            <w:rPr>
              <w:rFonts w:hint="eastAsia" w:ascii="宋体" w:hAnsi="宋体" w:eastAsia="宋体" w:cs="宋体"/>
              <w:szCs w:val="24"/>
            </w:rPr>
            <w:t>3.3 核心变量测算方法</w:t>
          </w:r>
          <w:r>
            <w:tab/>
          </w:r>
          <w:r>
            <w:fldChar w:fldCharType="begin"/>
          </w:r>
          <w:r>
            <w:instrText xml:space="preserve"> PAGEREF _Toc20451 \h </w:instrText>
          </w:r>
          <w:r>
            <w:fldChar w:fldCharType="separate"/>
          </w:r>
          <w:r>
            <w:t>11</w:t>
          </w:r>
          <w:r>
            <w:fldChar w:fldCharType="end"/>
          </w:r>
          <w:r>
            <w:fldChar w:fldCharType="end"/>
          </w:r>
        </w:p>
        <w:p w14:paraId="2E3D6940">
          <w:pPr>
            <w:pStyle w:val="11"/>
            <w:tabs>
              <w:tab w:val="right" w:leader="underscore" w:pos="8306"/>
            </w:tabs>
          </w:pPr>
          <w:r>
            <w:fldChar w:fldCharType="begin"/>
          </w:r>
          <w:r>
            <w:instrText xml:space="preserve"> HYPERLINK \l _Toc19590 </w:instrText>
          </w:r>
          <w:r>
            <w:fldChar w:fldCharType="separate"/>
          </w:r>
          <w:r>
            <w:rPr>
              <w:rFonts w:hint="eastAsia" w:ascii="宋体" w:hAnsi="宋体" w:eastAsia="宋体" w:cs="宋体"/>
              <w:szCs w:val="24"/>
            </w:rPr>
            <w:t>3.3.1 提质增效指数合成方法</w:t>
          </w:r>
          <w:r>
            <w:tab/>
          </w:r>
          <w:r>
            <w:fldChar w:fldCharType="begin"/>
          </w:r>
          <w:r>
            <w:instrText xml:space="preserve"> PAGEREF _Toc19590 \h </w:instrText>
          </w:r>
          <w:r>
            <w:fldChar w:fldCharType="separate"/>
          </w:r>
          <w:r>
            <w:t>11</w:t>
          </w:r>
          <w:r>
            <w:fldChar w:fldCharType="end"/>
          </w:r>
          <w:r>
            <w:fldChar w:fldCharType="end"/>
          </w:r>
        </w:p>
        <w:p w14:paraId="4F97FCC1">
          <w:pPr>
            <w:pStyle w:val="11"/>
            <w:tabs>
              <w:tab w:val="right" w:leader="underscore" w:pos="8306"/>
            </w:tabs>
          </w:pPr>
          <w:r>
            <w:fldChar w:fldCharType="begin"/>
          </w:r>
          <w:r>
            <w:instrText xml:space="preserve"> HYPERLINK \l _Toc18173 </w:instrText>
          </w:r>
          <w:r>
            <w:fldChar w:fldCharType="separate"/>
          </w:r>
          <w:r>
            <w:rPr>
              <w:rFonts w:hint="eastAsia" w:ascii="宋体" w:hAnsi="宋体" w:eastAsia="宋体" w:cs="宋体"/>
              <w:szCs w:val="24"/>
            </w:rPr>
            <w:t>3.3.2 LP 法 TFP 测算原理</w:t>
          </w:r>
          <w:r>
            <w:tab/>
          </w:r>
          <w:r>
            <w:fldChar w:fldCharType="begin"/>
          </w:r>
          <w:r>
            <w:instrText xml:space="preserve"> PAGEREF _Toc18173 \h </w:instrText>
          </w:r>
          <w:r>
            <w:fldChar w:fldCharType="separate"/>
          </w:r>
          <w:r>
            <w:t>11</w:t>
          </w:r>
          <w:r>
            <w:fldChar w:fldCharType="end"/>
          </w:r>
          <w:r>
            <w:fldChar w:fldCharType="end"/>
          </w:r>
        </w:p>
        <w:p w14:paraId="52B1A747">
          <w:pPr>
            <w:pStyle w:val="11"/>
            <w:tabs>
              <w:tab w:val="right" w:leader="underscore" w:pos="8306"/>
            </w:tabs>
          </w:pPr>
          <w:r>
            <w:fldChar w:fldCharType="begin"/>
          </w:r>
          <w:r>
            <w:instrText xml:space="preserve"> HYPERLINK \l _Toc10343 </w:instrText>
          </w:r>
          <w:r>
            <w:fldChar w:fldCharType="separate"/>
          </w:r>
          <w:r>
            <w:rPr>
              <w:rFonts w:hint="eastAsia" w:ascii="宋体" w:hAnsi="宋体" w:eastAsia="宋体" w:cs="宋体"/>
              <w:szCs w:val="24"/>
            </w:rPr>
            <w:t>3.3.3 AI 关注度词频构建规则</w:t>
          </w:r>
          <w:r>
            <w:tab/>
          </w:r>
          <w:r>
            <w:fldChar w:fldCharType="begin"/>
          </w:r>
          <w:r>
            <w:instrText xml:space="preserve"> PAGEREF _Toc10343 \h </w:instrText>
          </w:r>
          <w:r>
            <w:fldChar w:fldCharType="separate"/>
          </w:r>
          <w:r>
            <w:t>11</w:t>
          </w:r>
          <w:r>
            <w:fldChar w:fldCharType="end"/>
          </w:r>
          <w:r>
            <w:fldChar w:fldCharType="end"/>
          </w:r>
        </w:p>
        <w:p w14:paraId="490095D4">
          <w:pPr>
            <w:pStyle w:val="17"/>
            <w:tabs>
              <w:tab w:val="right" w:leader="underscore" w:pos="8306"/>
            </w:tabs>
          </w:pPr>
          <w:r>
            <w:fldChar w:fldCharType="begin"/>
          </w:r>
          <w:r>
            <w:instrText xml:space="preserve"> HYPERLINK \l _Toc27622 </w:instrText>
          </w:r>
          <w:r>
            <w:fldChar w:fldCharType="separate"/>
          </w:r>
          <w:r>
            <w:rPr>
              <w:rFonts w:hint="eastAsia" w:ascii="宋体" w:hAnsi="宋体" w:eastAsia="宋体" w:cs="宋体"/>
              <w:szCs w:val="24"/>
            </w:rPr>
            <w:t>3.4 扩展模型设计</w:t>
          </w:r>
          <w:r>
            <w:tab/>
          </w:r>
          <w:r>
            <w:fldChar w:fldCharType="begin"/>
          </w:r>
          <w:r>
            <w:instrText xml:space="preserve"> PAGEREF _Toc27622 \h </w:instrText>
          </w:r>
          <w:r>
            <w:fldChar w:fldCharType="separate"/>
          </w:r>
          <w:r>
            <w:t>12</w:t>
          </w:r>
          <w:r>
            <w:fldChar w:fldCharType="end"/>
          </w:r>
          <w:r>
            <w:fldChar w:fldCharType="end"/>
          </w:r>
        </w:p>
        <w:p w14:paraId="38EB8245">
          <w:pPr>
            <w:pStyle w:val="11"/>
            <w:tabs>
              <w:tab w:val="right" w:leader="underscore" w:pos="8306"/>
            </w:tabs>
          </w:pPr>
          <w:r>
            <w:fldChar w:fldCharType="begin"/>
          </w:r>
          <w:r>
            <w:instrText xml:space="preserve"> HYPERLINK \l _Toc7073 </w:instrText>
          </w:r>
          <w:r>
            <w:fldChar w:fldCharType="separate"/>
          </w:r>
          <w:r>
            <w:rPr>
              <w:rFonts w:hint="eastAsia" w:ascii="宋体" w:hAnsi="宋体" w:eastAsia="宋体" w:cs="宋体"/>
              <w:szCs w:val="24"/>
            </w:rPr>
            <w:t>3.4.1 分位数固定效应模型</w:t>
          </w:r>
          <w:r>
            <w:tab/>
          </w:r>
          <w:r>
            <w:fldChar w:fldCharType="begin"/>
          </w:r>
          <w:r>
            <w:instrText xml:space="preserve"> PAGEREF _Toc7073 \h </w:instrText>
          </w:r>
          <w:r>
            <w:fldChar w:fldCharType="separate"/>
          </w:r>
          <w:r>
            <w:t>12</w:t>
          </w:r>
          <w:r>
            <w:fldChar w:fldCharType="end"/>
          </w:r>
          <w:r>
            <w:fldChar w:fldCharType="end"/>
          </w:r>
        </w:p>
        <w:p w14:paraId="1B8A77FC">
          <w:pPr>
            <w:pStyle w:val="11"/>
            <w:tabs>
              <w:tab w:val="right" w:leader="underscore" w:pos="8306"/>
            </w:tabs>
          </w:pPr>
          <w:r>
            <w:fldChar w:fldCharType="begin"/>
          </w:r>
          <w:r>
            <w:instrText xml:space="preserve"> HYPERLINK \l _Toc18812 </w:instrText>
          </w:r>
          <w:r>
            <w:fldChar w:fldCharType="separate"/>
          </w:r>
          <w:r>
            <w:rPr>
              <w:rFonts w:hint="eastAsia" w:ascii="宋体" w:hAnsi="宋体" w:eastAsia="宋体" w:cs="宋体"/>
              <w:szCs w:val="24"/>
            </w:rPr>
            <w:t>3.4.2 非线性固定效应模型</w:t>
          </w:r>
          <w:r>
            <w:tab/>
          </w:r>
          <w:r>
            <w:fldChar w:fldCharType="begin"/>
          </w:r>
          <w:r>
            <w:instrText xml:space="preserve"> PAGEREF _Toc18812 \h </w:instrText>
          </w:r>
          <w:r>
            <w:fldChar w:fldCharType="separate"/>
          </w:r>
          <w:r>
            <w:t>12</w:t>
          </w:r>
          <w:r>
            <w:fldChar w:fldCharType="end"/>
          </w:r>
          <w:r>
            <w:fldChar w:fldCharType="end"/>
          </w:r>
        </w:p>
        <w:p w14:paraId="65D4153C">
          <w:pPr>
            <w:pStyle w:val="11"/>
            <w:tabs>
              <w:tab w:val="right" w:leader="underscore" w:pos="8306"/>
            </w:tabs>
          </w:pPr>
          <w:r>
            <w:fldChar w:fldCharType="begin"/>
          </w:r>
          <w:r>
            <w:instrText xml:space="preserve"> HYPERLINK \l _Toc17851 </w:instrText>
          </w:r>
          <w:r>
            <w:fldChar w:fldCharType="separate"/>
          </w:r>
          <w:r>
            <w:rPr>
              <w:rFonts w:hint="eastAsia" w:ascii="宋体" w:hAnsi="宋体" w:eastAsia="宋体" w:cs="宋体"/>
              <w:szCs w:val="24"/>
            </w:rPr>
            <w:t>3.4.3 交叉拟合部分线性模型</w:t>
          </w:r>
          <w:r>
            <w:tab/>
          </w:r>
          <w:r>
            <w:fldChar w:fldCharType="begin"/>
          </w:r>
          <w:r>
            <w:instrText xml:space="preserve"> PAGEREF _Toc17851 \h </w:instrText>
          </w:r>
          <w:r>
            <w:fldChar w:fldCharType="separate"/>
          </w:r>
          <w:r>
            <w:t>12</w:t>
          </w:r>
          <w:r>
            <w:fldChar w:fldCharType="end"/>
          </w:r>
          <w:r>
            <w:fldChar w:fldCharType="end"/>
          </w:r>
        </w:p>
        <w:p w14:paraId="14AB9ED4">
          <w:pPr>
            <w:pStyle w:val="11"/>
            <w:tabs>
              <w:tab w:val="right" w:leader="underscore" w:pos="8306"/>
            </w:tabs>
          </w:pPr>
          <w:r>
            <w:fldChar w:fldCharType="begin"/>
          </w:r>
          <w:r>
            <w:instrText xml:space="preserve"> HYPERLINK \l _Toc18621 </w:instrText>
          </w:r>
          <w:r>
            <w:fldChar w:fldCharType="separate"/>
          </w:r>
          <w:r>
            <w:rPr>
              <w:rFonts w:hint="eastAsia" w:ascii="宋体" w:hAnsi="宋体" w:eastAsia="宋体" w:cs="宋体"/>
              <w:szCs w:val="24"/>
            </w:rPr>
            <w:t>3.4.4 DID 因果边界检验模型</w:t>
          </w:r>
          <w:r>
            <w:tab/>
          </w:r>
          <w:r>
            <w:fldChar w:fldCharType="begin"/>
          </w:r>
          <w:r>
            <w:instrText xml:space="preserve"> PAGEREF _Toc18621 \h </w:instrText>
          </w:r>
          <w:r>
            <w:fldChar w:fldCharType="separate"/>
          </w:r>
          <w:r>
            <w:t>12</w:t>
          </w:r>
          <w:r>
            <w:fldChar w:fldCharType="end"/>
          </w:r>
          <w:r>
            <w:fldChar w:fldCharType="end"/>
          </w:r>
        </w:p>
        <w:p w14:paraId="4883E0E5">
          <w:pPr>
            <w:pStyle w:val="14"/>
            <w:tabs>
              <w:tab w:val="right" w:leader="underscore" w:pos="8306"/>
            </w:tabs>
          </w:pPr>
          <w:r>
            <w:fldChar w:fldCharType="begin"/>
          </w:r>
          <w:r>
            <w:instrText xml:space="preserve"> HYPERLINK \l _Toc31979 </w:instrText>
          </w:r>
          <w:r>
            <w:fldChar w:fldCharType="separate"/>
          </w:r>
          <w:r>
            <w:rPr>
              <w:rFonts w:hint="eastAsia"/>
              <w:lang w:val="en-US"/>
            </w:rPr>
            <w:t xml:space="preserve">四、 </w:t>
          </w:r>
          <w:r>
            <w:rPr>
              <w:rFonts w:hint="eastAsia"/>
            </w:rPr>
            <w:t>实证结果</w:t>
          </w:r>
          <w:r>
            <w:rPr>
              <w:rFonts w:hint="eastAsia"/>
              <w:lang w:val="en-US" w:eastAsia="zh-CN"/>
            </w:rPr>
            <w:t>说明</w:t>
          </w:r>
          <w:r>
            <w:tab/>
          </w:r>
          <w:r>
            <w:fldChar w:fldCharType="begin"/>
          </w:r>
          <w:r>
            <w:instrText xml:space="preserve"> PAGEREF _Toc31979 \h </w:instrText>
          </w:r>
          <w:r>
            <w:fldChar w:fldCharType="separate"/>
          </w:r>
          <w:r>
            <w:t>13</w:t>
          </w:r>
          <w:r>
            <w:fldChar w:fldCharType="end"/>
          </w:r>
          <w:r>
            <w:fldChar w:fldCharType="end"/>
          </w:r>
        </w:p>
        <w:p w14:paraId="3F2DFA80">
          <w:pPr>
            <w:pStyle w:val="17"/>
            <w:tabs>
              <w:tab w:val="right" w:leader="underscore" w:pos="8306"/>
            </w:tabs>
          </w:pPr>
          <w:r>
            <w:fldChar w:fldCharType="begin"/>
          </w:r>
          <w:r>
            <w:instrText xml:space="preserve"> HYPERLINK \l _Toc31600 </w:instrText>
          </w:r>
          <w:r>
            <w:fldChar w:fldCharType="separate"/>
          </w:r>
          <w:r>
            <w:rPr>
              <w:rFonts w:hint="eastAsia"/>
            </w:rPr>
            <w:t>（一）基准回归结果</w:t>
          </w:r>
          <w:r>
            <w:tab/>
          </w:r>
          <w:r>
            <w:fldChar w:fldCharType="begin"/>
          </w:r>
          <w:r>
            <w:instrText xml:space="preserve"> PAGEREF _Toc31600 \h </w:instrText>
          </w:r>
          <w:r>
            <w:fldChar w:fldCharType="separate"/>
          </w:r>
          <w:r>
            <w:t>13</w:t>
          </w:r>
          <w:r>
            <w:fldChar w:fldCharType="end"/>
          </w:r>
          <w:r>
            <w:fldChar w:fldCharType="end"/>
          </w:r>
        </w:p>
        <w:p w14:paraId="06359D40">
          <w:pPr>
            <w:pStyle w:val="17"/>
            <w:tabs>
              <w:tab w:val="right" w:leader="underscore" w:pos="8306"/>
            </w:tabs>
          </w:pPr>
          <w:r>
            <w:fldChar w:fldCharType="begin"/>
          </w:r>
          <w:r>
            <w:instrText xml:space="preserve"> HYPERLINK \l _Toc30366 </w:instrText>
          </w:r>
          <w:r>
            <w:fldChar w:fldCharType="separate"/>
          </w:r>
          <w:r>
            <w:rPr>
              <w:rFonts w:hint="eastAsia"/>
            </w:rPr>
            <w:t>（四）稳健性检验结果</w:t>
          </w:r>
          <w:r>
            <w:tab/>
          </w:r>
          <w:r>
            <w:fldChar w:fldCharType="begin"/>
          </w:r>
          <w:r>
            <w:instrText xml:space="preserve"> PAGEREF _Toc30366 \h </w:instrText>
          </w:r>
          <w:r>
            <w:fldChar w:fldCharType="separate"/>
          </w:r>
          <w:r>
            <w:t>15</w:t>
          </w:r>
          <w:r>
            <w:fldChar w:fldCharType="end"/>
          </w:r>
          <w:r>
            <w:fldChar w:fldCharType="end"/>
          </w:r>
        </w:p>
        <w:p w14:paraId="7D2BBD68">
          <w:pPr>
            <w:pStyle w:val="14"/>
            <w:tabs>
              <w:tab w:val="right" w:leader="underscore" w:pos="8306"/>
            </w:tabs>
          </w:pPr>
          <w:r>
            <w:fldChar w:fldCharType="begin"/>
          </w:r>
          <w:r>
            <w:instrText xml:space="preserve"> HYPERLINK \l _Toc2321 </w:instrText>
          </w:r>
          <w:r>
            <w:fldChar w:fldCharType="separate"/>
          </w:r>
          <w:r>
            <w:rPr>
              <w:rFonts w:hint="eastAsia"/>
            </w:rPr>
            <w:t>五、 研究结论与对策建议</w:t>
          </w:r>
          <w:r>
            <w:tab/>
          </w:r>
          <w:r>
            <w:fldChar w:fldCharType="begin"/>
          </w:r>
          <w:r>
            <w:instrText xml:space="preserve"> PAGEREF _Toc2321 \h </w:instrText>
          </w:r>
          <w:r>
            <w:fldChar w:fldCharType="separate"/>
          </w:r>
          <w:r>
            <w:t>17</w:t>
          </w:r>
          <w:r>
            <w:fldChar w:fldCharType="end"/>
          </w:r>
          <w:r>
            <w:fldChar w:fldCharType="end"/>
          </w:r>
        </w:p>
        <w:p w14:paraId="56E7FE23">
          <w:pPr>
            <w:pStyle w:val="17"/>
            <w:tabs>
              <w:tab w:val="right" w:leader="underscore" w:pos="8306"/>
            </w:tabs>
          </w:pPr>
          <w:r>
            <w:fldChar w:fldCharType="begin"/>
          </w:r>
          <w:r>
            <w:instrText xml:space="preserve"> HYPERLINK \l _Toc19765 </w:instrText>
          </w:r>
          <w:r>
            <w:fldChar w:fldCharType="separate"/>
          </w:r>
          <w:r>
            <w:rPr>
              <w:rFonts w:hint="eastAsia"/>
            </w:rPr>
            <w:t>（一）研究结论</w:t>
          </w:r>
          <w:r>
            <w:tab/>
          </w:r>
          <w:r>
            <w:fldChar w:fldCharType="begin"/>
          </w:r>
          <w:r>
            <w:instrText xml:space="preserve"> PAGEREF _Toc19765 \h </w:instrText>
          </w:r>
          <w:r>
            <w:fldChar w:fldCharType="separate"/>
          </w:r>
          <w:r>
            <w:t>17</w:t>
          </w:r>
          <w:r>
            <w:fldChar w:fldCharType="end"/>
          </w:r>
          <w:r>
            <w:fldChar w:fldCharType="end"/>
          </w:r>
        </w:p>
        <w:p w14:paraId="057C9104">
          <w:pPr>
            <w:pStyle w:val="17"/>
            <w:tabs>
              <w:tab w:val="right" w:leader="underscore" w:pos="8306"/>
            </w:tabs>
          </w:pPr>
          <w:r>
            <w:fldChar w:fldCharType="begin"/>
          </w:r>
          <w:r>
            <w:instrText xml:space="preserve"> HYPERLINK \l _Toc14333 </w:instrText>
          </w:r>
          <w:r>
            <w:fldChar w:fldCharType="separate"/>
          </w:r>
          <w:r>
            <w:rPr>
              <w:rFonts w:hint="eastAsia"/>
            </w:rPr>
            <w:t>（二）企业层面对策建议</w:t>
          </w:r>
          <w:r>
            <w:tab/>
          </w:r>
          <w:r>
            <w:fldChar w:fldCharType="begin"/>
          </w:r>
          <w:r>
            <w:instrText xml:space="preserve"> PAGEREF _Toc14333 \h </w:instrText>
          </w:r>
          <w:r>
            <w:fldChar w:fldCharType="separate"/>
          </w:r>
          <w:r>
            <w:t>17</w:t>
          </w:r>
          <w:r>
            <w:fldChar w:fldCharType="end"/>
          </w:r>
          <w:r>
            <w:fldChar w:fldCharType="end"/>
          </w:r>
        </w:p>
        <w:p w14:paraId="48D6A795">
          <w:pPr>
            <w:pStyle w:val="17"/>
            <w:tabs>
              <w:tab w:val="right" w:leader="underscore" w:pos="8306"/>
            </w:tabs>
          </w:pPr>
          <w:r>
            <w:fldChar w:fldCharType="begin"/>
          </w:r>
          <w:r>
            <w:instrText xml:space="preserve"> HYPERLINK \l _Toc5369 </w:instrText>
          </w:r>
          <w:r>
            <w:fldChar w:fldCharType="separate"/>
          </w:r>
          <w:r>
            <w:rPr>
              <w:rFonts w:hint="eastAsia"/>
            </w:rPr>
            <w:t>（三）政府层面对策建议</w:t>
          </w:r>
          <w:r>
            <w:tab/>
          </w:r>
          <w:r>
            <w:fldChar w:fldCharType="begin"/>
          </w:r>
          <w:r>
            <w:instrText xml:space="preserve"> PAGEREF _Toc5369 \h </w:instrText>
          </w:r>
          <w:r>
            <w:fldChar w:fldCharType="separate"/>
          </w:r>
          <w:r>
            <w:t>18</w:t>
          </w:r>
          <w:r>
            <w:fldChar w:fldCharType="end"/>
          </w:r>
          <w:r>
            <w:fldChar w:fldCharType="end"/>
          </w:r>
        </w:p>
        <w:p w14:paraId="44BDFAB4">
          <w:pPr>
            <w:pStyle w:val="17"/>
            <w:tabs>
              <w:tab w:val="right" w:leader="underscore" w:pos="8306"/>
            </w:tabs>
          </w:pPr>
          <w:r>
            <w:fldChar w:fldCharType="begin"/>
          </w:r>
          <w:r>
            <w:instrText xml:space="preserve"> HYPERLINK \l _Toc7483 </w:instrText>
          </w:r>
          <w:r>
            <w:fldChar w:fldCharType="separate"/>
          </w:r>
          <w:r>
            <w:rPr>
              <w:rFonts w:hint="eastAsia"/>
            </w:rPr>
            <w:t>（四）研究局限与未来展望</w:t>
          </w:r>
          <w:r>
            <w:tab/>
          </w:r>
          <w:r>
            <w:fldChar w:fldCharType="begin"/>
          </w:r>
          <w:r>
            <w:instrText xml:space="preserve"> PAGEREF _Toc7483 \h </w:instrText>
          </w:r>
          <w:r>
            <w:fldChar w:fldCharType="separate"/>
          </w:r>
          <w:r>
            <w:t>19</w:t>
          </w:r>
          <w:r>
            <w:fldChar w:fldCharType="end"/>
          </w:r>
          <w:r>
            <w:fldChar w:fldCharType="end"/>
          </w:r>
        </w:p>
        <w:p w14:paraId="1057614C">
          <w:pPr>
            <w:pStyle w:val="11"/>
            <w:tabs>
              <w:tab w:val="right" w:leader="underscore" w:pos="8306"/>
            </w:tabs>
          </w:pPr>
          <w:r>
            <w:fldChar w:fldCharType="begin"/>
          </w:r>
          <w:r>
            <w:instrText xml:space="preserve"> HYPERLINK \l _Toc328 </w:instrText>
          </w:r>
          <w:r>
            <w:fldChar w:fldCharType="separate"/>
          </w:r>
          <w:r>
            <w:rPr>
              <w:rFonts w:hint="eastAsia" w:ascii="宋体" w:hAnsi="宋体" w:eastAsia="宋体" w:cs="宋体"/>
              <w:szCs w:val="24"/>
            </w:rPr>
            <w:t>1. 研究局限</w:t>
          </w:r>
          <w:r>
            <w:tab/>
          </w:r>
          <w:r>
            <w:fldChar w:fldCharType="begin"/>
          </w:r>
          <w:r>
            <w:instrText xml:space="preserve"> PAGEREF _Toc328 \h </w:instrText>
          </w:r>
          <w:r>
            <w:fldChar w:fldCharType="separate"/>
          </w:r>
          <w:r>
            <w:t>19</w:t>
          </w:r>
          <w:r>
            <w:fldChar w:fldCharType="end"/>
          </w:r>
          <w:r>
            <w:fldChar w:fldCharType="end"/>
          </w:r>
        </w:p>
        <w:p w14:paraId="25518C28">
          <w:pPr>
            <w:pStyle w:val="11"/>
            <w:tabs>
              <w:tab w:val="right" w:leader="underscore" w:pos="8306"/>
            </w:tabs>
          </w:pPr>
          <w:r>
            <w:fldChar w:fldCharType="begin"/>
          </w:r>
          <w:r>
            <w:instrText xml:space="preserve"> HYPERLINK \l _Toc3924 </w:instrText>
          </w:r>
          <w:r>
            <w:fldChar w:fldCharType="separate"/>
          </w:r>
          <w:r>
            <w:rPr>
              <w:rFonts w:hint="eastAsia" w:ascii="宋体" w:hAnsi="宋体" w:eastAsia="宋体" w:cs="宋体"/>
              <w:szCs w:val="24"/>
            </w:rPr>
            <w:t>2. 未来展望</w:t>
          </w:r>
          <w:r>
            <w:tab/>
          </w:r>
          <w:r>
            <w:fldChar w:fldCharType="begin"/>
          </w:r>
          <w:r>
            <w:instrText xml:space="preserve"> PAGEREF _Toc3924 \h </w:instrText>
          </w:r>
          <w:r>
            <w:fldChar w:fldCharType="separate"/>
          </w:r>
          <w:r>
            <w:t>19</w:t>
          </w:r>
          <w:r>
            <w:fldChar w:fldCharType="end"/>
          </w:r>
          <w:r>
            <w:fldChar w:fldCharType="end"/>
          </w:r>
        </w:p>
        <w:p w14:paraId="50A518A2">
          <w:pPr>
            <w:pStyle w:val="14"/>
            <w:tabs>
              <w:tab w:val="right" w:leader="underscore" w:pos="8306"/>
            </w:tabs>
          </w:pPr>
          <w:r>
            <w:fldChar w:fldCharType="begin"/>
          </w:r>
          <w:r>
            <w:instrText xml:space="preserve"> HYPERLINK \l _Toc25737 </w:instrText>
          </w:r>
          <w:r>
            <w:fldChar w:fldCharType="separate"/>
          </w:r>
          <w:r>
            <w:rPr>
              <w:rFonts w:hint="eastAsia" w:ascii="宋体" w:hAnsi="宋体" w:eastAsia="宋体" w:cs="宋体"/>
              <w:szCs w:val="24"/>
            </w:rPr>
            <w:t>参考文献</w:t>
          </w:r>
          <w:r>
            <w:tab/>
          </w:r>
          <w:r>
            <w:fldChar w:fldCharType="begin"/>
          </w:r>
          <w:r>
            <w:instrText xml:space="preserve"> PAGEREF _Toc25737 \h </w:instrText>
          </w:r>
          <w:r>
            <w:fldChar w:fldCharType="separate"/>
          </w:r>
          <w:r>
            <w:t>20</w:t>
          </w:r>
          <w:r>
            <w:fldChar w:fldCharType="end"/>
          </w:r>
          <w:r>
            <w:fldChar w:fldCharType="end"/>
          </w:r>
        </w:p>
        <w:p w14:paraId="22B4C628">
          <w:pPr>
            <w:pStyle w:val="14"/>
            <w:tabs>
              <w:tab w:val="right" w:leader="underscore" w:pos="8306"/>
            </w:tabs>
          </w:pPr>
          <w:r>
            <w:fldChar w:fldCharType="begin"/>
          </w:r>
          <w:r>
            <w:instrText xml:space="preserve"> HYPERLINK \l _Toc7441 </w:instrText>
          </w:r>
          <w:r>
            <w:fldChar w:fldCharType="separate"/>
          </w:r>
          <w:r>
            <w:rPr>
              <w:rFonts w:hint="eastAsia" w:ascii="宋体" w:hAnsi="宋体" w:eastAsia="宋体" w:cs="宋体"/>
              <w:szCs w:val="24"/>
            </w:rPr>
            <w:t>六、研究结论</w:t>
          </w:r>
          <w:r>
            <w:tab/>
          </w:r>
          <w:r>
            <w:fldChar w:fldCharType="begin"/>
          </w:r>
          <w:r>
            <w:instrText xml:space="preserve"> PAGEREF _Toc7441 \h </w:instrText>
          </w:r>
          <w:r>
            <w:fldChar w:fldCharType="separate"/>
          </w:r>
          <w:r>
            <w:t>21</w:t>
          </w:r>
          <w:r>
            <w:fldChar w:fldCharType="end"/>
          </w:r>
          <w:r>
            <w:fldChar w:fldCharType="end"/>
          </w:r>
        </w:p>
        <w:p w14:paraId="0A4FADEB">
          <w:pPr>
            <w:pStyle w:val="17"/>
            <w:tabs>
              <w:tab w:val="right" w:leader="underscore" w:pos="8306"/>
            </w:tabs>
          </w:pPr>
          <w:r>
            <w:fldChar w:fldCharType="begin"/>
          </w:r>
          <w:r>
            <w:instrText xml:space="preserve"> HYPERLINK \l _Toc26734 </w:instrText>
          </w:r>
          <w:r>
            <w:fldChar w:fldCharType="separate"/>
          </w:r>
          <w:r>
            <w:rPr>
              <w:rFonts w:hint="eastAsia" w:ascii="宋体" w:hAnsi="宋体" w:eastAsia="宋体" w:cs="宋体"/>
              <w:bCs/>
              <w:szCs w:val="24"/>
            </w:rPr>
            <w:t>第一，人工智能转型显著提升制造业企业绩效。</w:t>
          </w:r>
          <w:r>
            <w:tab/>
          </w:r>
          <w:r>
            <w:fldChar w:fldCharType="begin"/>
          </w:r>
          <w:r>
            <w:instrText xml:space="preserve"> PAGEREF _Toc26734 \h </w:instrText>
          </w:r>
          <w:r>
            <w:fldChar w:fldCharType="separate"/>
          </w:r>
          <w:r>
            <w:t>21</w:t>
          </w:r>
          <w:r>
            <w:fldChar w:fldCharType="end"/>
          </w:r>
          <w:r>
            <w:fldChar w:fldCharType="end"/>
          </w:r>
        </w:p>
        <w:p w14:paraId="64666EEE">
          <w:pPr>
            <w:pStyle w:val="17"/>
            <w:tabs>
              <w:tab w:val="right" w:leader="underscore" w:pos="8306"/>
            </w:tabs>
          </w:pPr>
          <w:r>
            <w:fldChar w:fldCharType="begin"/>
          </w:r>
          <w:r>
            <w:instrText xml:space="preserve"> HYPERLINK \l _Toc3878 </w:instrText>
          </w:r>
          <w:r>
            <w:fldChar w:fldCharType="separate"/>
          </w:r>
          <w:r>
            <w:rPr>
              <w:rFonts w:hint="eastAsia" w:ascii="宋体" w:hAnsi="宋体" w:eastAsia="宋体" w:cs="宋体"/>
              <w:bCs/>
              <w:szCs w:val="24"/>
            </w:rPr>
            <w:t>第三，人工智能转型的赋能效果存在显著的异质性。</w:t>
          </w:r>
          <w:r>
            <w:tab/>
          </w:r>
          <w:r>
            <w:fldChar w:fldCharType="begin"/>
          </w:r>
          <w:r>
            <w:instrText xml:space="preserve"> PAGEREF _Toc3878 \h </w:instrText>
          </w:r>
          <w:r>
            <w:fldChar w:fldCharType="separate"/>
          </w:r>
          <w:r>
            <w:t>21</w:t>
          </w:r>
          <w:r>
            <w:fldChar w:fldCharType="end"/>
          </w:r>
          <w:r>
            <w:fldChar w:fldCharType="end"/>
          </w:r>
        </w:p>
        <w:p w14:paraId="6472D6BE">
          <w:pPr>
            <w:pStyle w:val="17"/>
            <w:tabs>
              <w:tab w:val="right" w:leader="underscore" w:pos="8306"/>
            </w:tabs>
          </w:pPr>
          <w:r>
            <w:fldChar w:fldCharType="begin"/>
          </w:r>
          <w:r>
            <w:instrText xml:space="preserve"> HYPERLINK \l _Toc2437 </w:instrText>
          </w:r>
          <w:r>
            <w:fldChar w:fldCharType="separate"/>
          </w:r>
          <w:r>
            <w:rPr>
              <w:rFonts w:hint="eastAsia" w:ascii="宋体" w:hAnsi="宋体" w:eastAsia="宋体" w:cs="宋体"/>
              <w:bCs/>
              <w:szCs w:val="24"/>
            </w:rPr>
            <w:t>第四，文本挖掘指标比传统指标具有更高的信息含量。</w:t>
          </w:r>
          <w:r>
            <w:tab/>
          </w:r>
          <w:r>
            <w:fldChar w:fldCharType="begin"/>
          </w:r>
          <w:r>
            <w:instrText xml:space="preserve"> PAGEREF _Toc2437 \h </w:instrText>
          </w:r>
          <w:r>
            <w:fldChar w:fldCharType="separate"/>
          </w:r>
          <w:r>
            <w:t>22</w:t>
          </w:r>
          <w:r>
            <w:fldChar w:fldCharType="end"/>
          </w:r>
          <w:r>
            <w:fldChar w:fldCharType="end"/>
          </w:r>
        </w:p>
        <w:p w14:paraId="3731924D">
          <w:pPr>
            <w:pStyle w:val="17"/>
            <w:tabs>
              <w:tab w:val="right" w:leader="underscore" w:pos="8306"/>
            </w:tabs>
          </w:pPr>
          <w:r>
            <w:fldChar w:fldCharType="begin"/>
          </w:r>
          <w:r>
            <w:instrText xml:space="preserve"> HYPERLINK \l _Toc29696 </w:instrText>
          </w:r>
          <w:r>
            <w:fldChar w:fldCharType="separate"/>
          </w:r>
          <w:r>
            <w:rPr>
              <w:rFonts w:hint="eastAsia" w:ascii="宋体" w:hAnsi="宋体" w:eastAsia="宋体" w:cs="宋体"/>
              <w:bCs/>
              <w:szCs w:val="24"/>
            </w:rPr>
            <w:t>第五，基准结论具有高度的稳健性。</w:t>
          </w:r>
          <w:r>
            <w:tab/>
          </w:r>
          <w:r>
            <w:fldChar w:fldCharType="begin"/>
          </w:r>
          <w:r>
            <w:instrText xml:space="preserve"> PAGEREF _Toc29696 \h </w:instrText>
          </w:r>
          <w:r>
            <w:fldChar w:fldCharType="separate"/>
          </w:r>
          <w:r>
            <w:t>22</w:t>
          </w:r>
          <w:r>
            <w:fldChar w:fldCharType="end"/>
          </w:r>
          <w:r>
            <w:fldChar w:fldCharType="end"/>
          </w:r>
        </w:p>
        <w:p w14:paraId="764473F1">
          <w:pPr>
            <w:pStyle w:val="14"/>
            <w:tabs>
              <w:tab w:val="right" w:leader="underscore" w:pos="8306"/>
            </w:tabs>
          </w:pPr>
          <w:r>
            <w:fldChar w:fldCharType="begin"/>
          </w:r>
          <w:r>
            <w:instrText xml:space="preserve"> HYPERLINK \l _Toc30772 </w:instrText>
          </w:r>
          <w:r>
            <w:fldChar w:fldCharType="separate"/>
          </w:r>
          <w:r>
            <w:rPr>
              <w:rFonts w:hint="eastAsia" w:ascii="宋体" w:hAnsi="宋体" w:eastAsia="宋体" w:cs="宋体"/>
              <w:szCs w:val="24"/>
            </w:rPr>
            <w:t>参考文献</w:t>
          </w:r>
          <w:r>
            <w:tab/>
          </w:r>
          <w:r>
            <w:fldChar w:fldCharType="begin"/>
          </w:r>
          <w:r>
            <w:instrText xml:space="preserve"> PAGEREF _Toc30772 \h </w:instrText>
          </w:r>
          <w:r>
            <w:fldChar w:fldCharType="separate"/>
          </w:r>
          <w:r>
            <w:t>22</w:t>
          </w:r>
          <w:r>
            <w:fldChar w:fldCharType="end"/>
          </w:r>
          <w:r>
            <w:fldChar w:fldCharType="end"/>
          </w:r>
        </w:p>
        <w:p w14:paraId="52CD262A">
          <w:pPr>
            <w:pStyle w:val="14"/>
            <w:tabs>
              <w:tab w:val="right" w:leader="underscore" w:pos="8306"/>
            </w:tabs>
          </w:pPr>
          <w:r>
            <w:fldChar w:fldCharType="begin"/>
          </w:r>
          <w:r>
            <w:instrText xml:space="preserve"> HYPERLINK \l _Toc28510 </w:instrText>
          </w:r>
          <w:r>
            <w:fldChar w:fldCharType="separate"/>
          </w:r>
          <w:r>
            <w:rPr>
              <w:rFonts w:hint="eastAsia" w:ascii="宋体" w:hAnsi="宋体" w:eastAsia="宋体" w:cs="宋体"/>
              <w:szCs w:val="24"/>
            </w:rPr>
            <w:t>一、样本企业清单</w:t>
          </w:r>
          <w:r>
            <w:tab/>
          </w:r>
          <w:r>
            <w:fldChar w:fldCharType="begin"/>
          </w:r>
          <w:r>
            <w:instrText xml:space="preserve"> PAGEREF _Toc28510 \h </w:instrText>
          </w:r>
          <w:r>
            <w:fldChar w:fldCharType="separate"/>
          </w:r>
          <w:r>
            <w:t>23</w:t>
          </w:r>
          <w:r>
            <w:fldChar w:fldCharType="end"/>
          </w:r>
          <w:r>
            <w:fldChar w:fldCharType="end"/>
          </w:r>
        </w:p>
        <w:p w14:paraId="1CDEE54D">
          <w:pPr>
            <w:pStyle w:val="14"/>
            <w:tabs>
              <w:tab w:val="right" w:leader="underscore" w:pos="8306"/>
            </w:tabs>
          </w:pPr>
          <w:r>
            <w:fldChar w:fldCharType="begin"/>
          </w:r>
          <w:r>
            <w:instrText xml:space="preserve"> HYPERLINK \l _Toc21122 </w:instrText>
          </w:r>
          <w:r>
            <w:fldChar w:fldCharType="separate"/>
          </w:r>
          <w:r>
            <w:rPr>
              <w:rFonts w:hint="eastAsia" w:ascii="宋体" w:hAnsi="宋体" w:eastAsia="宋体" w:cs="宋体"/>
              <w:szCs w:val="24"/>
            </w:rPr>
            <w:t>二、变量说明</w:t>
          </w:r>
          <w:r>
            <w:tab/>
          </w:r>
          <w:r>
            <w:fldChar w:fldCharType="begin"/>
          </w:r>
          <w:r>
            <w:instrText xml:space="preserve"> PAGEREF _Toc21122 \h </w:instrText>
          </w:r>
          <w:r>
            <w:fldChar w:fldCharType="separate"/>
          </w:r>
          <w:r>
            <w:t>23</w:t>
          </w:r>
          <w:r>
            <w:fldChar w:fldCharType="end"/>
          </w:r>
          <w:r>
            <w:fldChar w:fldCharType="end"/>
          </w:r>
        </w:p>
        <w:p w14:paraId="2CC121ED">
          <w:pPr>
            <w:pStyle w:val="14"/>
            <w:tabs>
              <w:tab w:val="right" w:leader="underscore" w:pos="8306"/>
            </w:tabs>
          </w:pPr>
          <w:r>
            <w:fldChar w:fldCharType="begin"/>
          </w:r>
          <w:r>
            <w:instrText xml:space="preserve"> HYPERLINK \l _Toc4956 </w:instrText>
          </w:r>
          <w:r>
            <w:fldChar w:fldCharType="separate"/>
          </w:r>
          <w:r>
            <w:rPr>
              <w:rFonts w:hint="eastAsia" w:ascii="宋体" w:hAnsi="宋体" w:eastAsia="宋体" w:cs="宋体"/>
              <w:szCs w:val="24"/>
            </w:rPr>
            <w:t>致谢</w:t>
          </w:r>
          <w:r>
            <w:tab/>
          </w:r>
          <w:r>
            <w:fldChar w:fldCharType="begin"/>
          </w:r>
          <w:r>
            <w:instrText xml:space="preserve"> PAGEREF _Toc4956 \h </w:instrText>
          </w:r>
          <w:r>
            <w:fldChar w:fldCharType="separate"/>
          </w:r>
          <w:r>
            <w:t>24</w:t>
          </w:r>
          <w:r>
            <w:fldChar w:fldCharType="end"/>
          </w:r>
          <w:r>
            <w:fldChar w:fldCharType="end"/>
          </w:r>
        </w:p>
        <w:p w14:paraId="6B7CF18B">
          <w:r>
            <w:fldChar w:fldCharType="end"/>
          </w:r>
        </w:p>
      </w:sdtContent>
    </w:sdt>
    <w:p w14:paraId="0B221054"/>
    <w:p w14:paraId="32906963">
      <w:pPr>
        <w:jc w:val="center"/>
        <w:rPr>
          <w:rFonts w:hint="eastAsia" w:ascii="黑体" w:hAnsi="黑体" w:eastAsia="黑体" w:cs="黑体"/>
          <w:sz w:val="28"/>
          <w:szCs w:val="28"/>
          <w:lang w:val="en-US" w:eastAsia="zh-CN"/>
        </w:rPr>
      </w:pPr>
    </w:p>
    <w:p w14:paraId="06F9D6A6">
      <w:pPr>
        <w:jc w:val="center"/>
        <w:rPr>
          <w:rFonts w:hint="eastAsia" w:ascii="黑体" w:hAnsi="黑体" w:eastAsia="黑体" w:cs="黑体"/>
          <w:sz w:val="28"/>
          <w:szCs w:val="28"/>
          <w:lang w:val="en-US" w:eastAsia="zh-CN"/>
        </w:rPr>
      </w:pPr>
    </w:p>
    <w:p w14:paraId="7CF6B68E">
      <w:pPr>
        <w:jc w:val="center"/>
        <w:rPr>
          <w:rFonts w:hint="eastAsia" w:ascii="黑体" w:hAnsi="黑体" w:eastAsia="黑体" w:cs="黑体"/>
          <w:sz w:val="28"/>
          <w:szCs w:val="28"/>
          <w:lang w:val="en-US" w:eastAsia="zh-CN"/>
        </w:rPr>
      </w:pPr>
    </w:p>
    <w:p w14:paraId="5855306B">
      <w:pPr>
        <w:jc w:val="center"/>
        <w:rPr>
          <w:rFonts w:hint="eastAsia" w:ascii="黑体" w:hAnsi="黑体" w:eastAsia="黑体" w:cs="黑体"/>
          <w:sz w:val="28"/>
          <w:szCs w:val="28"/>
          <w:lang w:val="en-US" w:eastAsia="zh-CN"/>
        </w:rPr>
      </w:pPr>
    </w:p>
    <w:p w14:paraId="55E40365">
      <w:pPr>
        <w:jc w:val="center"/>
        <w:rPr>
          <w:rFonts w:hint="eastAsia" w:ascii="黑体" w:hAnsi="黑体" w:eastAsia="黑体" w:cs="黑体"/>
          <w:sz w:val="28"/>
          <w:szCs w:val="28"/>
          <w:lang w:val="en-US" w:eastAsia="zh-CN"/>
        </w:rPr>
      </w:pPr>
    </w:p>
    <w:p w14:paraId="647A79D9">
      <w:pPr>
        <w:jc w:val="center"/>
        <w:rPr>
          <w:rFonts w:hint="eastAsia" w:ascii="黑体" w:hAnsi="黑体" w:eastAsia="黑体" w:cs="黑体"/>
          <w:sz w:val="28"/>
          <w:szCs w:val="28"/>
          <w:lang w:val="en-US" w:eastAsia="zh-CN"/>
        </w:rPr>
      </w:pPr>
    </w:p>
    <w:p w14:paraId="63C60E0F">
      <w:pPr>
        <w:jc w:val="both"/>
        <w:rPr>
          <w:rFonts w:hint="eastAsia" w:ascii="黑体" w:hAnsi="黑体" w:eastAsia="黑体" w:cs="黑体"/>
          <w:sz w:val="28"/>
          <w:szCs w:val="28"/>
          <w:lang w:val="en-US" w:eastAsia="zh-CN"/>
        </w:rPr>
      </w:pPr>
    </w:p>
    <w:p w14:paraId="39EAD5E4">
      <w:pPr>
        <w:jc w:val="center"/>
        <w:rPr>
          <w:rFonts w:hint="default" w:eastAsia="宋体"/>
          <w:lang w:val="en-US" w:eastAsia="zh-CN"/>
        </w:rPr>
      </w:pPr>
      <w:r>
        <w:rPr>
          <w:rFonts w:hint="eastAsia" w:ascii="黑体" w:hAnsi="黑体" w:eastAsia="黑体" w:cs="黑体"/>
          <w:sz w:val="28"/>
          <w:szCs w:val="28"/>
          <w:lang w:val="en-US" w:eastAsia="zh-CN"/>
        </w:rPr>
        <w:t>表格与插图清单</w:t>
      </w:r>
    </w:p>
    <w:p w14:paraId="0F048760"/>
    <w:p w14:paraId="4CF1EBD0"/>
    <w:p w14:paraId="11275DD1"/>
    <w:p w14:paraId="749B76C1"/>
    <w:p w14:paraId="20934164"/>
    <w:p w14:paraId="66597A89"/>
    <w:p w14:paraId="0EE25034"/>
    <w:p w14:paraId="1BA6EEE0">
      <w:pPr>
        <w:sectPr>
          <w:headerReference r:id="rId5" w:type="default"/>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425" w:num="1"/>
          <w:docGrid w:type="lines" w:linePitch="312" w:charSpace="0"/>
        </w:sectPr>
      </w:pPr>
    </w:p>
    <w:p w14:paraId="3A5558B5">
      <w:pPr>
        <w:rPr>
          <w:rFonts w:hint="eastAsia"/>
        </w:rPr>
      </w:pPr>
    </w:p>
    <w:p w14:paraId="31AAD7F4">
      <w:pPr>
        <w:spacing w:line="480" w:lineRule="exact"/>
        <w:ind w:left="-199" w:leftChars="-95" w:right="-307" w:rightChars="-146" w:firstLine="0" w:firstLineChars="0"/>
        <w:jc w:val="center"/>
        <w:rPr>
          <w:rFonts w:hint="eastAsia" w:ascii="方正小标宋简体" w:hAnsi="等线" w:eastAsia="方正小标宋简体" w:cs="方正小标宋_GBK"/>
          <w:kern w:val="2"/>
          <w:sz w:val="32"/>
          <w:szCs w:val="32"/>
          <w:lang w:val="en-US" w:eastAsia="zh" w:bidi="ar"/>
          <w14:ligatures w14:val="none"/>
        </w:rPr>
      </w:pPr>
      <w:r>
        <w:rPr>
          <w:rFonts w:hint="eastAsia" w:ascii="方正小标宋简体" w:hAnsi="等线" w:eastAsia="方正小标宋简体" w:cs="方正小标宋_GBK"/>
          <w:kern w:val="2"/>
          <w:sz w:val="32"/>
          <w:szCs w:val="32"/>
          <w:lang w:val="en-US" w:eastAsia="zh-CN" w:bidi="ar"/>
          <w14:ligatures w14:val="none"/>
        </w:rPr>
        <w:t>“</w:t>
      </w:r>
      <w:r>
        <w:rPr>
          <w:rFonts w:hint="eastAsia" w:ascii="方正小标宋简体" w:hAnsi="等线" w:eastAsia="方正小标宋简体" w:cs="方正小标宋_GBK"/>
          <w:kern w:val="2"/>
          <w:sz w:val="32"/>
          <w:szCs w:val="32"/>
          <w:lang w:val="en-US" w:eastAsia="zh" w:bidi="ar"/>
          <w14:ligatures w14:val="none"/>
        </w:rPr>
        <w:t>人工智能+</w:t>
      </w:r>
      <w:r>
        <w:rPr>
          <w:rFonts w:hint="eastAsia" w:ascii="方正小标宋简体" w:hAnsi="等线" w:eastAsia="方正小标宋简体" w:cs="方正小标宋_GBK"/>
          <w:kern w:val="2"/>
          <w:sz w:val="32"/>
          <w:szCs w:val="32"/>
          <w:lang w:val="en-US" w:eastAsia="zh-CN" w:bidi="ar"/>
          <w14:ligatures w14:val="none"/>
        </w:rPr>
        <w:t>”</w:t>
      </w:r>
      <w:r>
        <w:rPr>
          <w:rFonts w:hint="eastAsia" w:ascii="方正小标宋简体" w:hAnsi="等线" w:eastAsia="方正小标宋简体" w:cs="方正小标宋_GBK"/>
          <w:kern w:val="2"/>
          <w:sz w:val="32"/>
          <w:szCs w:val="32"/>
          <w:lang w:val="en-US" w:eastAsia="zh" w:bidi="ar"/>
          <w14:ligatures w14:val="none"/>
        </w:rPr>
        <w:t>赋能制造业企业提质增效影响研究</w:t>
      </w:r>
    </w:p>
    <w:p w14:paraId="59D7BE06">
      <w:pPr>
        <w:spacing w:line="480" w:lineRule="exact"/>
        <w:ind w:left="-199" w:leftChars="-95" w:right="-307" w:rightChars="-146" w:firstLine="0" w:firstLineChars="0"/>
        <w:jc w:val="center"/>
        <w:rPr>
          <w:rFonts w:hint="eastAsia" w:ascii="方正小标宋简体" w:hAnsi="仿宋_GB2312" w:eastAsia="方正小标宋简体" w:cs="Times New Roman"/>
          <w:kern w:val="2"/>
          <w:sz w:val="32"/>
          <w:szCs w:val="32"/>
          <w:lang w:val="en-US" w:eastAsia="zh" w:bidi="ar-SA"/>
          <w14:ligatures w14:val="none"/>
        </w:rPr>
      </w:pPr>
      <w:r>
        <w:rPr>
          <w:rFonts w:hint="eastAsia" w:ascii="方正小标宋简体" w:hAnsi="等线" w:eastAsia="方正小标宋简体" w:cs="方正小标宋_GBK"/>
          <w:kern w:val="2"/>
          <w:sz w:val="32"/>
          <w:szCs w:val="32"/>
          <w:lang w:val="en-US" w:eastAsia="zh-CN" w:bidi="ar"/>
          <w14:ligatures w14:val="none"/>
        </w:rPr>
        <w:t xml:space="preserve"> </w:t>
      </w:r>
      <w:r>
        <w:rPr>
          <w:rFonts w:hint="eastAsia" w:ascii="方正小标宋简体" w:hAnsi="等线" w:eastAsia="方正小标宋简体" w:cs="方正小标宋_GBK"/>
          <w:kern w:val="2"/>
          <w:sz w:val="32"/>
          <w:szCs w:val="32"/>
          <w:lang w:val="en-US" w:eastAsia="zh" w:bidi="ar"/>
          <w14:ligatures w14:val="none"/>
        </w:rPr>
        <w:t>——</w:t>
      </w:r>
      <w:r>
        <w:rPr>
          <w:rFonts w:hint="eastAsia" w:ascii="方正小标宋简体" w:hAnsi="等线" w:eastAsia="方正小标宋简体" w:cs="方正小标宋_GBK"/>
          <w:kern w:val="2"/>
          <w:sz w:val="32"/>
          <w:szCs w:val="32"/>
          <w:lang w:val="en-US" w:eastAsia="zh-CN" w:bidi="ar"/>
          <w14:ligatures w14:val="none"/>
        </w:rPr>
        <w:t xml:space="preserve"> </w:t>
      </w:r>
      <w:r>
        <w:rPr>
          <w:rFonts w:hint="eastAsia" w:ascii="方正小标宋简体" w:hAnsi="等线" w:eastAsia="方正小标宋简体" w:cs="方正小标宋_GBK"/>
          <w:kern w:val="2"/>
          <w:sz w:val="32"/>
          <w:szCs w:val="32"/>
          <w:lang w:val="en-US" w:eastAsia="zh" w:bidi="ar"/>
          <w14:ligatures w14:val="none"/>
        </w:rPr>
        <w:t>基于中国A股上市公司的实证分析</w:t>
      </w:r>
    </w:p>
    <w:p w14:paraId="38592D5F">
      <w:pPr>
        <w:pStyle w:val="53"/>
        <w:bidi w:val="0"/>
        <w:outlineLvl w:val="0"/>
        <w:rPr>
          <w:rFonts w:hint="eastAsia"/>
        </w:rPr>
      </w:pPr>
      <w:bookmarkStart w:id="2" w:name="_Toc337"/>
      <w:r>
        <w:rPr>
          <w:rFonts w:hint="eastAsia"/>
        </w:rPr>
        <w:t>引言</w:t>
      </w:r>
      <w:bookmarkEnd w:id="2"/>
    </w:p>
    <w:p w14:paraId="6A3A1B87">
      <w:pPr>
        <w:pStyle w:val="52"/>
        <w:numPr>
          <w:ilvl w:val="0"/>
          <w:numId w:val="2"/>
        </w:numPr>
        <w:bidi w:val="0"/>
        <w:outlineLvl w:val="1"/>
        <w:rPr>
          <w:rFonts w:hint="default"/>
          <w:lang w:val="en-US" w:eastAsia="zh-CN"/>
        </w:rPr>
      </w:pPr>
      <w:bookmarkStart w:id="3" w:name="_Toc1975"/>
      <w:r>
        <w:rPr>
          <w:rFonts w:hint="eastAsia"/>
          <w:lang w:val="en-US" w:eastAsia="zh-CN"/>
        </w:rPr>
        <w:t>研究背景与意义</w:t>
      </w:r>
      <w:bookmarkEnd w:id="3"/>
    </w:p>
    <w:p w14:paraId="502E6682">
      <w:pPr>
        <w:keepNext w:val="0"/>
        <w:keepLines w:val="0"/>
        <w:pageBreakBefore w:val="0"/>
        <w:widowControl/>
        <w:kinsoku/>
        <w:wordWrap/>
        <w:overflowPunct/>
        <w:topLinePunct w:val="0"/>
        <w:autoSpaceDE/>
        <w:autoSpaceDN/>
        <w:bidi w:val="0"/>
        <w:adjustRightInd/>
        <w:snapToGrid/>
        <w:spacing w:line="480" w:lineRule="exact"/>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当前，全球制造业正</w:t>
      </w:r>
      <w:r>
        <w:rPr>
          <w:rFonts w:hint="eastAsia" w:ascii="宋体" w:hAnsi="宋体" w:eastAsia="宋体" w:cs="宋体"/>
          <w:sz w:val="24"/>
          <w:szCs w:val="24"/>
          <w:lang w:val="en-US" w:eastAsia="zh-CN"/>
        </w:rPr>
        <w:t>进入</w:t>
      </w:r>
      <w:r>
        <w:rPr>
          <w:rFonts w:hint="eastAsia" w:ascii="宋体" w:hAnsi="宋体" w:eastAsia="宋体" w:cs="宋体"/>
          <w:sz w:val="24"/>
          <w:szCs w:val="24"/>
        </w:rPr>
        <w:t>以智能化、数字化、网络化为核心的新一轮产业变革</w:t>
      </w:r>
      <w:r>
        <w:rPr>
          <w:rFonts w:hint="eastAsia" w:ascii="宋体" w:hAnsi="宋体" w:eastAsia="宋体" w:cs="宋体"/>
          <w:sz w:val="24"/>
          <w:szCs w:val="24"/>
          <w:lang w:val="en-US" w:eastAsia="zh-CN"/>
        </w:rPr>
        <w:t>周期</w:t>
      </w:r>
      <w:r>
        <w:rPr>
          <w:rFonts w:hint="eastAsia" w:ascii="宋体" w:hAnsi="宋体" w:eastAsia="宋体" w:cs="宋体"/>
          <w:sz w:val="24"/>
          <w:szCs w:val="24"/>
        </w:rPr>
        <w:t>。以人工智能、大数据</w:t>
      </w:r>
      <w:r>
        <w:rPr>
          <w:rFonts w:hint="eastAsia" w:ascii="宋体" w:hAnsi="宋体" w:eastAsia="宋体" w:cs="宋体"/>
          <w:sz w:val="24"/>
          <w:szCs w:val="24"/>
          <w:lang w:val="en-US" w:eastAsia="zh-CN"/>
        </w:rPr>
        <w:t>与</w:t>
      </w:r>
      <w:r>
        <w:rPr>
          <w:rFonts w:hint="eastAsia" w:ascii="宋体" w:hAnsi="宋体" w:eastAsia="宋体" w:cs="宋体"/>
          <w:sz w:val="24"/>
          <w:szCs w:val="24"/>
        </w:rPr>
        <w:t>工业互联网为代表的新一代信息技术，正从根本上改变传统制造业的生产方式、</w:t>
      </w:r>
      <w:r>
        <w:rPr>
          <w:rFonts w:hint="eastAsia" w:ascii="宋体" w:hAnsi="宋体" w:eastAsia="宋体" w:cs="宋体"/>
          <w:sz w:val="24"/>
          <w:szCs w:val="24"/>
          <w:lang w:val="en-US" w:eastAsia="zh-CN"/>
        </w:rPr>
        <w:t>运营</w:t>
      </w:r>
      <w:r>
        <w:rPr>
          <w:rFonts w:hint="eastAsia" w:ascii="宋体" w:hAnsi="宋体" w:eastAsia="宋体" w:cs="宋体"/>
          <w:sz w:val="24"/>
          <w:szCs w:val="24"/>
        </w:rPr>
        <w:t>流程与价值创造</w:t>
      </w:r>
      <w:r>
        <w:rPr>
          <w:rFonts w:hint="eastAsia" w:ascii="宋体" w:hAnsi="宋体" w:eastAsia="宋体" w:cs="宋体"/>
          <w:sz w:val="24"/>
          <w:szCs w:val="24"/>
          <w:lang w:val="en-US" w:eastAsia="zh-CN"/>
        </w:rPr>
        <w:t>路径</w:t>
      </w:r>
      <w:r>
        <w:rPr>
          <w:rFonts w:hint="eastAsia" w:ascii="宋体" w:hAnsi="宋体" w:eastAsia="宋体" w:cs="宋体"/>
          <w:sz w:val="24"/>
          <w:szCs w:val="24"/>
        </w:rPr>
        <w:t>。</w:t>
      </w:r>
      <w:r>
        <w:rPr>
          <w:rFonts w:hint="eastAsia" w:ascii="宋体" w:hAnsi="宋体" w:eastAsia="宋体" w:cs="宋体"/>
          <w:sz w:val="24"/>
          <w:szCs w:val="24"/>
          <w:lang w:val="en-US" w:eastAsia="zh-CN"/>
        </w:rPr>
        <w:t>作为</w:t>
      </w:r>
      <w:r>
        <w:rPr>
          <w:rFonts w:hint="eastAsia" w:ascii="宋体" w:hAnsi="宋体" w:eastAsia="宋体" w:cs="宋体"/>
          <w:sz w:val="24"/>
          <w:szCs w:val="24"/>
        </w:rPr>
        <w:t>国民经济的主体</w:t>
      </w:r>
      <w:r>
        <w:rPr>
          <w:rFonts w:hint="eastAsia" w:ascii="宋体" w:hAnsi="宋体" w:eastAsia="宋体" w:cs="宋体"/>
          <w:sz w:val="24"/>
          <w:szCs w:val="24"/>
          <w:lang w:val="en-US" w:eastAsia="zh-CN"/>
        </w:rPr>
        <w:t>与产业安全的根基</w:t>
      </w:r>
      <w:r>
        <w:rPr>
          <w:rFonts w:hint="eastAsia" w:ascii="宋体" w:hAnsi="宋体" w:eastAsia="宋体" w:cs="宋体"/>
          <w:sz w:val="24"/>
          <w:szCs w:val="24"/>
        </w:rPr>
        <w:t>，</w:t>
      </w:r>
      <w:r>
        <w:rPr>
          <w:rFonts w:hint="eastAsia" w:ascii="宋体" w:hAnsi="宋体" w:eastAsia="宋体" w:cs="宋体"/>
          <w:sz w:val="24"/>
          <w:szCs w:val="24"/>
          <w:lang w:val="en-US" w:eastAsia="zh-CN"/>
        </w:rPr>
        <w:t>我</w:t>
      </w:r>
      <w:r>
        <w:rPr>
          <w:rFonts w:hint="eastAsia" w:ascii="宋体" w:hAnsi="宋体" w:eastAsia="宋体" w:cs="宋体"/>
          <w:sz w:val="24"/>
          <w:szCs w:val="24"/>
        </w:rPr>
        <w:t>国</w:t>
      </w:r>
      <w:r>
        <w:rPr>
          <w:rFonts w:hint="eastAsia" w:ascii="宋体" w:hAnsi="宋体" w:eastAsia="宋体" w:cs="宋体"/>
          <w:sz w:val="24"/>
          <w:szCs w:val="24"/>
          <w:lang w:val="en-US" w:eastAsia="zh-CN"/>
        </w:rPr>
        <w:t>制造业</w:t>
      </w:r>
      <w:r>
        <w:rPr>
          <w:rFonts w:hint="eastAsia" w:ascii="宋体" w:hAnsi="宋体" w:eastAsia="宋体" w:cs="宋体"/>
          <w:sz w:val="24"/>
          <w:szCs w:val="24"/>
        </w:rPr>
        <w:t>已</w:t>
      </w:r>
      <w:r>
        <w:rPr>
          <w:rFonts w:hint="eastAsia" w:ascii="宋体" w:hAnsi="宋体" w:eastAsia="宋体" w:cs="宋体"/>
          <w:sz w:val="24"/>
          <w:szCs w:val="24"/>
          <w:lang w:val="en-US" w:eastAsia="zh-CN"/>
        </w:rPr>
        <w:t>形成规模庞大、体系完整的产业格局</w:t>
      </w:r>
      <w:r>
        <w:rPr>
          <w:rFonts w:hint="eastAsia" w:ascii="宋体" w:hAnsi="宋体" w:eastAsia="宋体" w:cs="宋体"/>
          <w:sz w:val="24"/>
          <w:szCs w:val="24"/>
        </w:rPr>
        <w:t>，但</w:t>
      </w:r>
      <w:r>
        <w:rPr>
          <w:rFonts w:hint="eastAsia" w:ascii="宋体" w:hAnsi="宋体" w:eastAsia="宋体" w:cs="宋体"/>
          <w:sz w:val="24"/>
          <w:szCs w:val="24"/>
          <w:lang w:val="en-US" w:eastAsia="zh-CN"/>
        </w:rPr>
        <w:t>长期存在的</w:t>
      </w:r>
      <w:r>
        <w:rPr>
          <w:rFonts w:hint="eastAsia" w:ascii="宋体" w:hAnsi="宋体" w:eastAsia="宋体" w:cs="宋体"/>
          <w:sz w:val="24"/>
          <w:szCs w:val="24"/>
        </w:rPr>
        <w:t>“大而不强、全而不优”的问题依然突出</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核心技术存在短板、生产要素成本攀升、资源环境约束等矛盾日益凸显，传统生产模式难以为继</w:t>
      </w:r>
      <w:r>
        <w:rPr>
          <w:rFonts w:hint="eastAsia" w:ascii="宋体" w:hAnsi="宋体" w:eastAsia="宋体" w:cs="宋体"/>
          <w:sz w:val="24"/>
          <w:szCs w:val="24"/>
        </w:rPr>
        <w:t>。在此背景下，推动制造业向智能化转型，</w:t>
      </w:r>
      <w:r>
        <w:rPr>
          <w:rFonts w:hint="eastAsia" w:ascii="宋体" w:hAnsi="宋体" w:eastAsia="宋体" w:cs="宋体"/>
          <w:sz w:val="24"/>
          <w:szCs w:val="24"/>
          <w:lang w:val="en-US" w:eastAsia="zh-CN"/>
        </w:rPr>
        <w:t>已</w:t>
      </w:r>
      <w:r>
        <w:rPr>
          <w:rFonts w:hint="eastAsia" w:ascii="宋体" w:hAnsi="宋体" w:eastAsia="宋体" w:cs="宋体"/>
          <w:sz w:val="24"/>
          <w:szCs w:val="24"/>
        </w:rPr>
        <w:t>成为实现高质量发展、提升国际竞争力的关键路径。</w:t>
      </w:r>
    </w:p>
    <w:p w14:paraId="2EC98E52">
      <w:pPr>
        <w:keepNext w:val="0"/>
        <w:keepLines w:val="0"/>
        <w:pageBreakBefore w:val="0"/>
        <w:widowControl/>
        <w:kinsoku/>
        <w:wordWrap/>
        <w:overflowPunct/>
        <w:topLinePunct w:val="0"/>
        <w:autoSpaceDE/>
        <w:autoSpaceDN/>
        <w:bidi w:val="0"/>
        <w:adjustRightInd/>
        <w:snapToGrid/>
        <w:spacing w:line="480" w:lineRule="exact"/>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从政策层面看，国家先后出台《中国制造 2025》《新一代人工智能发展规划》《“十四五”数字经济发展规划》等一系列战略文件，明确将智能制造作为制造业转型升级的主攻方向。在政策引导与市场驱动下，</w:t>
      </w:r>
      <w:r>
        <w:rPr>
          <w:rFonts w:hint="eastAsia" w:ascii="宋体" w:hAnsi="宋体" w:eastAsia="宋体" w:cs="宋体"/>
          <w:sz w:val="24"/>
          <w:szCs w:val="24"/>
          <w:lang w:val="en-US" w:eastAsia="zh-CN"/>
        </w:rPr>
        <w:t>越来越多的</w:t>
      </w:r>
      <w:r>
        <w:rPr>
          <w:rFonts w:hint="eastAsia" w:ascii="宋体" w:hAnsi="宋体" w:eastAsia="宋体" w:cs="宋体"/>
          <w:sz w:val="24"/>
          <w:szCs w:val="24"/>
        </w:rPr>
        <w:t>制造业企业</w:t>
      </w:r>
      <w:r>
        <w:rPr>
          <w:rFonts w:hint="eastAsia" w:ascii="宋体" w:hAnsi="宋体" w:eastAsia="宋体" w:cs="宋体"/>
          <w:sz w:val="24"/>
          <w:szCs w:val="24"/>
          <w:lang w:val="en-US" w:eastAsia="zh-CN"/>
        </w:rPr>
        <w:t>将人工智能纳入战略布局</w:t>
      </w:r>
      <w:r>
        <w:rPr>
          <w:rFonts w:hint="eastAsia" w:ascii="宋体" w:hAnsi="宋体" w:eastAsia="宋体" w:cs="宋体"/>
          <w:sz w:val="24"/>
          <w:szCs w:val="24"/>
        </w:rPr>
        <w:t>，</w:t>
      </w:r>
      <w:r>
        <w:rPr>
          <w:rFonts w:hint="eastAsia" w:ascii="宋体" w:hAnsi="宋体" w:eastAsia="宋体" w:cs="宋体"/>
          <w:sz w:val="24"/>
          <w:szCs w:val="24"/>
          <w:lang w:val="en-US" w:eastAsia="zh-CN"/>
        </w:rPr>
        <w:t>并</w:t>
      </w:r>
      <w:r>
        <w:rPr>
          <w:rFonts w:hint="eastAsia" w:ascii="宋体" w:hAnsi="宋体" w:eastAsia="宋体" w:cs="宋体"/>
          <w:sz w:val="24"/>
          <w:szCs w:val="24"/>
        </w:rPr>
        <w:t>将其应用于研发设计、生产制造、质量检测、供应链协同等</w:t>
      </w:r>
      <w:r>
        <w:rPr>
          <w:rFonts w:hint="eastAsia" w:ascii="宋体" w:hAnsi="宋体" w:eastAsia="宋体" w:cs="宋体"/>
          <w:sz w:val="24"/>
          <w:szCs w:val="24"/>
          <w:lang w:val="en-US" w:eastAsia="zh-CN"/>
        </w:rPr>
        <w:t>重要</w:t>
      </w:r>
      <w:r>
        <w:rPr>
          <w:rFonts w:hint="eastAsia" w:ascii="宋体" w:hAnsi="宋体" w:eastAsia="宋体" w:cs="宋体"/>
          <w:sz w:val="24"/>
          <w:szCs w:val="24"/>
        </w:rPr>
        <w:t>环节。</w:t>
      </w:r>
      <w:r>
        <w:rPr>
          <w:rFonts w:hint="eastAsia" w:ascii="宋体" w:hAnsi="宋体" w:eastAsia="宋体" w:cs="宋体"/>
          <w:sz w:val="24"/>
          <w:szCs w:val="24"/>
          <w:lang w:val="en-US" w:eastAsia="zh-CN"/>
        </w:rPr>
        <w:t>但在实践</w:t>
      </w:r>
      <w:r>
        <w:rPr>
          <w:rFonts w:hint="eastAsia" w:ascii="宋体" w:hAnsi="宋体" w:cs="宋体"/>
          <w:sz w:val="24"/>
          <w:szCs w:val="24"/>
          <w:lang w:val="en-US" w:eastAsia="zh-CN"/>
        </w:rPr>
        <w:t>落地过程</w:t>
      </w:r>
      <w:r>
        <w:rPr>
          <w:rFonts w:hint="eastAsia" w:ascii="宋体" w:hAnsi="宋体" w:eastAsia="宋体" w:cs="宋体"/>
          <w:sz w:val="24"/>
          <w:szCs w:val="24"/>
          <w:lang w:val="en-US" w:eastAsia="zh-CN"/>
        </w:rPr>
        <w:t>中，企业</w:t>
      </w:r>
      <w:r>
        <w:rPr>
          <w:rFonts w:hint="eastAsia" w:ascii="宋体" w:hAnsi="宋体" w:eastAsia="宋体" w:cs="宋体"/>
          <w:sz w:val="24"/>
          <w:szCs w:val="24"/>
        </w:rPr>
        <w:t>智能</w:t>
      </w:r>
      <w:r>
        <w:rPr>
          <w:rFonts w:hint="eastAsia" w:ascii="宋体" w:hAnsi="宋体" w:eastAsia="宋体" w:cs="宋体"/>
          <w:sz w:val="24"/>
          <w:szCs w:val="24"/>
          <w:lang w:val="en-US" w:eastAsia="zh-CN"/>
        </w:rPr>
        <w:t>化</w:t>
      </w:r>
      <w:r>
        <w:rPr>
          <w:rFonts w:hint="eastAsia" w:ascii="宋体" w:hAnsi="宋体" w:eastAsia="宋体" w:cs="宋体"/>
          <w:sz w:val="24"/>
          <w:szCs w:val="24"/>
        </w:rPr>
        <w:t>转型</w:t>
      </w:r>
      <w:r>
        <w:rPr>
          <w:rFonts w:hint="eastAsia" w:ascii="宋体" w:hAnsi="宋体" w:eastAsia="宋体" w:cs="宋体"/>
          <w:sz w:val="24"/>
          <w:szCs w:val="24"/>
          <w:lang w:val="en-US" w:eastAsia="zh-CN"/>
        </w:rPr>
        <w:t>普遍面临</w:t>
      </w:r>
      <w:r>
        <w:rPr>
          <w:rFonts w:hint="eastAsia" w:ascii="宋体" w:hAnsi="宋体" w:eastAsia="宋体" w:cs="宋体"/>
          <w:sz w:val="24"/>
          <w:szCs w:val="24"/>
        </w:rPr>
        <w:t>投入</w:t>
      </w:r>
      <w:r>
        <w:rPr>
          <w:rFonts w:hint="eastAsia" w:ascii="宋体" w:hAnsi="宋体" w:eastAsia="宋体" w:cs="宋体"/>
          <w:sz w:val="24"/>
          <w:szCs w:val="24"/>
          <w:lang w:val="en-US" w:eastAsia="zh-CN"/>
        </w:rPr>
        <w:t>高</w:t>
      </w:r>
      <w:r>
        <w:rPr>
          <w:rFonts w:hint="eastAsia" w:ascii="宋体" w:hAnsi="宋体" w:eastAsia="宋体" w:cs="宋体"/>
          <w:sz w:val="24"/>
          <w:szCs w:val="24"/>
        </w:rPr>
        <w:t>、周期</w:t>
      </w:r>
      <w:r>
        <w:rPr>
          <w:rFonts w:hint="eastAsia" w:ascii="宋体" w:hAnsi="宋体" w:eastAsia="宋体" w:cs="宋体"/>
          <w:sz w:val="24"/>
          <w:szCs w:val="24"/>
          <w:lang w:val="en-US" w:eastAsia="zh-CN"/>
        </w:rPr>
        <w:t>长</w:t>
      </w:r>
      <w:r>
        <w:rPr>
          <w:rFonts w:hint="eastAsia" w:ascii="宋体" w:hAnsi="宋体" w:eastAsia="宋体" w:cs="宋体"/>
          <w:sz w:val="24"/>
          <w:szCs w:val="24"/>
        </w:rPr>
        <w:t>、</w:t>
      </w:r>
      <w:r>
        <w:rPr>
          <w:rFonts w:hint="eastAsia" w:ascii="宋体" w:hAnsi="宋体" w:eastAsia="宋体" w:cs="宋体"/>
          <w:sz w:val="24"/>
          <w:szCs w:val="24"/>
          <w:lang w:val="en-US" w:eastAsia="zh-CN"/>
        </w:rPr>
        <w:t>落地难</w:t>
      </w:r>
      <w:r>
        <w:rPr>
          <w:rFonts w:hint="eastAsia" w:ascii="宋体" w:hAnsi="宋体" w:cs="宋体"/>
          <w:sz w:val="24"/>
          <w:szCs w:val="24"/>
          <w:lang w:val="en-US" w:eastAsia="zh-CN"/>
        </w:rPr>
        <w:t>等</w:t>
      </w:r>
      <w:r>
        <w:rPr>
          <w:rFonts w:hint="eastAsia" w:ascii="宋体" w:hAnsi="宋体" w:eastAsia="宋体" w:cs="宋体"/>
          <w:sz w:val="24"/>
          <w:szCs w:val="24"/>
          <w:lang w:val="en-US" w:eastAsia="zh-CN"/>
        </w:rPr>
        <w:t>困境</w:t>
      </w:r>
      <w:r>
        <w:rPr>
          <w:rFonts w:hint="eastAsia" w:ascii="宋体" w:hAnsi="宋体" w:eastAsia="宋体" w:cs="宋体"/>
          <w:sz w:val="24"/>
          <w:szCs w:val="24"/>
        </w:rPr>
        <w:t>，</w:t>
      </w:r>
      <w:r>
        <w:rPr>
          <w:rFonts w:hint="eastAsia" w:ascii="宋体" w:hAnsi="宋体" w:eastAsia="宋体" w:cs="宋体"/>
          <w:sz w:val="24"/>
          <w:szCs w:val="24"/>
          <w:lang w:val="en-US" w:eastAsia="zh-CN"/>
        </w:rPr>
        <w:t>技术投入与提质增效目标之间存在明显脱节，转型缺乏系统，严谨的量化指标</w:t>
      </w:r>
      <w:r>
        <w:rPr>
          <w:rFonts w:hint="eastAsia" w:ascii="宋体" w:hAnsi="宋体" w:cs="宋体"/>
          <w:sz w:val="24"/>
          <w:szCs w:val="24"/>
          <w:lang w:val="en-US" w:eastAsia="zh-CN"/>
        </w:rPr>
        <w:t>，</w:t>
      </w:r>
      <w:r>
        <w:rPr>
          <w:rFonts w:ascii="宋体" w:hAnsi="宋体" w:eastAsia="宋体" w:cs="宋体"/>
          <w:sz w:val="24"/>
          <w:szCs w:val="24"/>
        </w:rPr>
        <w:t>亟需严谨规范的实证研究为转型实践提供科学依据</w:t>
      </w:r>
      <w:r>
        <w:rPr>
          <w:rFonts w:hint="eastAsia" w:ascii="宋体" w:hAnsi="宋体" w:eastAsia="宋体" w:cs="宋体"/>
          <w:sz w:val="24"/>
          <w:szCs w:val="24"/>
          <w:lang w:val="en-US" w:eastAsia="zh-CN"/>
        </w:rPr>
        <w:t>。</w:t>
      </w:r>
    </w:p>
    <w:p w14:paraId="1EC9A5A0">
      <w:pPr>
        <w:keepNext w:val="0"/>
        <w:keepLines w:val="0"/>
        <w:pageBreakBefore w:val="0"/>
        <w:widowControl/>
        <w:kinsoku/>
        <w:wordWrap/>
        <w:overflowPunct/>
        <w:topLinePunct w:val="0"/>
        <w:autoSpaceDE/>
        <w:autoSpaceDN/>
        <w:bidi w:val="0"/>
        <w:adjustRightInd/>
        <w:snapToGrid/>
        <w:spacing w:line="480" w:lineRule="exact"/>
        <w:ind w:firstLine="420" w:firstLineChars="0"/>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从学术层面看，</w:t>
      </w:r>
      <w:r>
        <w:rPr>
          <w:rFonts w:hint="eastAsia" w:ascii="宋体" w:hAnsi="宋体" w:eastAsia="宋体" w:cs="宋体"/>
          <w:sz w:val="24"/>
          <w:szCs w:val="24"/>
          <w:lang w:val="en-US" w:eastAsia="zh-CN"/>
        </w:rPr>
        <w:t>现有研究</w:t>
      </w:r>
      <w:r>
        <w:rPr>
          <w:rFonts w:hint="eastAsia" w:ascii="宋体" w:hAnsi="宋体" w:eastAsia="宋体" w:cs="宋体"/>
          <w:sz w:val="24"/>
          <w:szCs w:val="24"/>
        </w:rPr>
        <w:t>围绕数字化、智能化转型的经济效应已</w:t>
      </w:r>
      <w:r>
        <w:rPr>
          <w:rFonts w:hint="eastAsia" w:ascii="宋体" w:hAnsi="宋体" w:eastAsia="宋体" w:cs="宋体"/>
          <w:sz w:val="24"/>
          <w:szCs w:val="24"/>
          <w:lang w:val="en-US" w:eastAsia="zh-CN"/>
        </w:rPr>
        <w:t>取得丰富成果</w:t>
      </w:r>
      <w:r>
        <w:rPr>
          <w:rFonts w:hint="eastAsia" w:ascii="宋体" w:hAnsi="宋体" w:eastAsia="宋体" w:cs="宋体"/>
          <w:sz w:val="24"/>
          <w:szCs w:val="24"/>
        </w:rPr>
        <w:t>，但仍存在明显</w:t>
      </w:r>
      <w:r>
        <w:rPr>
          <w:rFonts w:hint="eastAsia" w:ascii="宋体" w:hAnsi="宋体" w:eastAsia="宋体" w:cs="宋体"/>
          <w:sz w:val="24"/>
          <w:szCs w:val="24"/>
          <w:lang w:val="en-US" w:eastAsia="zh-CN"/>
        </w:rPr>
        <w:t>局限</w:t>
      </w:r>
      <w:r>
        <w:rPr>
          <w:rFonts w:hint="eastAsia" w:ascii="宋体" w:hAnsi="宋体" w:eastAsia="宋体" w:cs="宋体"/>
          <w:sz w:val="24"/>
          <w:szCs w:val="24"/>
        </w:rPr>
        <w:t>：一</w:t>
      </w:r>
      <w:r>
        <w:rPr>
          <w:rFonts w:hint="eastAsia" w:ascii="宋体" w:hAnsi="宋体" w:eastAsia="宋体" w:cs="宋体"/>
          <w:sz w:val="24"/>
          <w:szCs w:val="24"/>
          <w:lang w:val="en-US" w:eastAsia="zh-CN"/>
        </w:rPr>
        <w:t>是</w:t>
      </w:r>
      <w:r>
        <w:rPr>
          <w:rFonts w:hint="eastAsia" w:ascii="宋体" w:hAnsi="宋体" w:eastAsia="宋体" w:cs="宋体"/>
          <w:sz w:val="24"/>
          <w:szCs w:val="24"/>
        </w:rPr>
        <w:t>对</w:t>
      </w:r>
      <w:r>
        <w:rPr>
          <w:rFonts w:hint="eastAsia" w:ascii="宋体" w:hAnsi="宋体" w:eastAsia="宋体" w:cs="宋体"/>
          <w:sz w:val="24"/>
          <w:szCs w:val="24"/>
          <w:lang w:val="en-US" w:eastAsia="zh-CN"/>
        </w:rPr>
        <w:t>企业智能化布局的度量方式较为单一，多以</w:t>
      </w:r>
      <w:r>
        <w:rPr>
          <w:rFonts w:hint="eastAsia" w:ascii="宋体" w:hAnsi="宋体" w:cs="宋体"/>
          <w:sz w:val="24"/>
          <w:szCs w:val="24"/>
          <w:lang w:val="en-US" w:eastAsia="zh-CN"/>
        </w:rPr>
        <w:t>AI资金</w:t>
      </w:r>
      <w:r>
        <w:rPr>
          <w:rFonts w:hint="eastAsia" w:ascii="宋体" w:hAnsi="宋体" w:eastAsia="宋体" w:cs="宋体"/>
          <w:sz w:val="24"/>
          <w:szCs w:val="24"/>
        </w:rPr>
        <w:t>投入、专利数量</w:t>
      </w:r>
      <w:r>
        <w:rPr>
          <w:rFonts w:hint="eastAsia" w:ascii="宋体" w:hAnsi="宋体" w:eastAsia="宋体" w:cs="宋体"/>
          <w:sz w:val="24"/>
          <w:szCs w:val="24"/>
          <w:lang w:val="en-US" w:eastAsia="zh-CN"/>
        </w:rPr>
        <w:t>或者</w:t>
      </w:r>
      <w:r>
        <w:rPr>
          <w:rFonts w:hint="eastAsia" w:ascii="宋体" w:hAnsi="宋体" w:eastAsia="宋体" w:cs="宋体"/>
          <w:sz w:val="24"/>
          <w:szCs w:val="24"/>
        </w:rPr>
        <w:t>是否开展智能化转型等虚拟变量，难以捕捉企业连续、动态的转型行为；二</w:t>
      </w:r>
      <w:r>
        <w:rPr>
          <w:rFonts w:hint="eastAsia" w:ascii="宋体" w:hAnsi="宋体" w:eastAsia="宋体" w:cs="宋体"/>
          <w:sz w:val="24"/>
          <w:szCs w:val="24"/>
          <w:lang w:val="en-US" w:eastAsia="zh-CN"/>
        </w:rPr>
        <w:t>是聚焦“提质增效”双维度的综合评价不足，多以单一生产率或盈利指标衡量效果，与实体经济转型目标贴合度不高；</w:t>
      </w:r>
      <w:r>
        <w:rPr>
          <w:rFonts w:hint="eastAsia" w:ascii="宋体" w:hAnsi="宋体" w:eastAsia="宋体" w:cs="宋体"/>
          <w:sz w:val="24"/>
          <w:szCs w:val="24"/>
        </w:rPr>
        <w:t>三</w:t>
      </w:r>
      <w:r>
        <w:rPr>
          <w:rFonts w:hint="eastAsia" w:ascii="宋体" w:hAnsi="宋体" w:eastAsia="宋体" w:cs="宋体"/>
          <w:sz w:val="24"/>
          <w:szCs w:val="24"/>
          <w:lang w:val="en-US" w:eastAsia="zh-CN"/>
        </w:rPr>
        <w:t>是针对制造业企业的稳健性检验与异质性分析不够系统，对不同企业的差异化效应揭示不足</w:t>
      </w:r>
      <w:r>
        <w:rPr>
          <w:rFonts w:hint="eastAsia" w:ascii="宋体" w:hAnsi="宋体" w:cs="宋体"/>
          <w:sz w:val="24"/>
          <w:szCs w:val="24"/>
          <w:lang w:val="en-US" w:eastAsia="zh-CN"/>
        </w:rPr>
        <w:t>；</w:t>
      </w:r>
      <w:r>
        <w:rPr>
          <w:rFonts w:ascii="宋体" w:hAnsi="宋体" w:eastAsia="宋体" w:cs="宋体"/>
          <w:sz w:val="24"/>
          <w:szCs w:val="24"/>
        </w:rPr>
        <w:t>四是将文本挖掘技术、高维面板数据与中介效应模型相结合，针对中国制造业企业的专项实证研究相对匮乏</w:t>
      </w:r>
      <w:r>
        <w:rPr>
          <w:rFonts w:hint="eastAsia" w:ascii="宋体" w:hAnsi="宋体" w:eastAsia="宋体" w:cs="宋体"/>
          <w:sz w:val="24"/>
          <w:szCs w:val="24"/>
          <w:lang w:val="en-US" w:eastAsia="zh-CN"/>
        </w:rPr>
        <w:t>。</w:t>
      </w:r>
    </w:p>
    <w:p w14:paraId="3F2727A2">
      <w:pPr>
        <w:keepNext w:val="0"/>
        <w:keepLines w:val="0"/>
        <w:pageBreakBefore w:val="0"/>
        <w:widowControl/>
        <w:kinsoku/>
        <w:wordWrap/>
        <w:overflowPunct/>
        <w:topLinePunct w:val="0"/>
        <w:autoSpaceDE/>
        <w:autoSpaceDN/>
        <w:bidi w:val="0"/>
        <w:adjustRightInd/>
        <w:snapToGrid/>
        <w:spacing w:line="480" w:lineRule="exact"/>
        <w:ind w:firstLine="420" w:firstLineChars="0"/>
        <w:textAlignment w:val="auto"/>
      </w:pPr>
      <w:r>
        <w:rPr>
          <w:rFonts w:hint="eastAsia" w:ascii="宋体" w:hAnsi="宋体" w:eastAsia="宋体" w:cs="宋体"/>
          <w:sz w:val="24"/>
          <w:szCs w:val="24"/>
          <w:lang w:val="en-US" w:eastAsia="zh-CN"/>
        </w:rPr>
        <w:t>基于此</w:t>
      </w:r>
      <w:r>
        <w:rPr>
          <w:rFonts w:hint="eastAsia" w:ascii="宋体" w:hAnsi="宋体" w:eastAsia="宋体" w:cs="宋体"/>
          <w:sz w:val="24"/>
          <w:szCs w:val="24"/>
        </w:rPr>
        <w:t>，本文</w:t>
      </w:r>
      <w:r>
        <w:rPr>
          <w:rFonts w:hint="eastAsia" w:ascii="宋体" w:hAnsi="宋体" w:eastAsia="宋体" w:cs="宋体"/>
          <w:sz w:val="24"/>
          <w:szCs w:val="24"/>
          <w:lang w:val="en-US" w:eastAsia="zh-CN"/>
        </w:rPr>
        <w:t>立足制造业高质量发展现实需求</w:t>
      </w:r>
      <w:r>
        <w:rPr>
          <w:rFonts w:hint="eastAsia" w:ascii="宋体" w:hAnsi="宋体" w:eastAsia="宋体" w:cs="宋体"/>
          <w:sz w:val="24"/>
          <w:szCs w:val="24"/>
        </w:rPr>
        <w:t>，以</w:t>
      </w:r>
      <w:r>
        <w:rPr>
          <w:rFonts w:hint="eastAsia" w:ascii="宋体" w:hAnsi="宋体" w:eastAsia="宋体" w:cs="宋体"/>
          <w:sz w:val="24"/>
          <w:szCs w:val="24"/>
          <w:lang w:val="en-US" w:eastAsia="zh-CN"/>
        </w:rPr>
        <w:t>A股制造业上市公司</w:t>
      </w:r>
      <w:r>
        <w:rPr>
          <w:rFonts w:hint="eastAsia" w:ascii="宋体" w:hAnsi="宋体" w:eastAsia="宋体" w:cs="宋体"/>
          <w:sz w:val="24"/>
          <w:szCs w:val="24"/>
        </w:rPr>
        <w:t>为研究对象，基于真实年报文本构建AI</w:t>
      </w:r>
      <w:r>
        <w:rPr>
          <w:rFonts w:hint="eastAsia" w:ascii="宋体" w:hAnsi="宋体" w:eastAsia="宋体" w:cs="宋体"/>
          <w:sz w:val="24"/>
          <w:szCs w:val="24"/>
          <w:lang w:val="en-US" w:eastAsia="zh-CN"/>
        </w:rPr>
        <w:t>关注度</w:t>
      </w:r>
      <w:r>
        <w:rPr>
          <w:rFonts w:hint="eastAsia" w:ascii="宋体" w:hAnsi="宋体" w:eastAsia="宋体" w:cs="宋体"/>
          <w:sz w:val="24"/>
          <w:szCs w:val="24"/>
        </w:rPr>
        <w:t>指标，</w:t>
      </w:r>
      <w:r>
        <w:rPr>
          <w:rFonts w:hint="eastAsia" w:ascii="宋体" w:hAnsi="宋体" w:eastAsia="宋体" w:cs="宋体"/>
          <w:sz w:val="24"/>
          <w:szCs w:val="24"/>
          <w:lang w:val="en-US" w:eastAsia="zh-CN"/>
        </w:rPr>
        <w:t>从质量与效率双维度构建提质增效指数，开展规范严谨的实证分析。</w:t>
      </w:r>
      <w:r>
        <w:rPr>
          <w:rFonts w:hint="eastAsia" w:ascii="宋体" w:hAnsi="宋体" w:eastAsia="宋体" w:cs="宋体"/>
          <w:sz w:val="24"/>
          <w:szCs w:val="24"/>
        </w:rPr>
        <w:t>方法上，</w:t>
      </w:r>
      <w:r>
        <w:rPr>
          <w:rFonts w:hint="eastAsia" w:ascii="宋体" w:hAnsi="宋体" w:eastAsia="宋体" w:cs="宋体"/>
          <w:sz w:val="24"/>
          <w:szCs w:val="24"/>
          <w:lang w:val="en-US" w:eastAsia="zh-CN"/>
        </w:rPr>
        <w:t>为相关领域研究提供可参考的指标构造思路</w:t>
      </w:r>
      <w:r>
        <w:rPr>
          <w:rFonts w:hint="eastAsia" w:ascii="宋体" w:hAnsi="宋体" w:eastAsia="宋体" w:cs="宋体"/>
          <w:sz w:val="24"/>
          <w:szCs w:val="24"/>
        </w:rPr>
        <w:t>与</w:t>
      </w:r>
      <w:r>
        <w:rPr>
          <w:rFonts w:hint="eastAsia" w:ascii="宋体" w:hAnsi="宋体" w:eastAsia="宋体" w:cs="宋体"/>
          <w:sz w:val="24"/>
          <w:szCs w:val="24"/>
          <w:lang w:val="en-US" w:eastAsia="zh-CN"/>
        </w:rPr>
        <w:t>实证分析</w:t>
      </w:r>
      <w:r>
        <w:rPr>
          <w:rFonts w:hint="eastAsia" w:ascii="宋体" w:hAnsi="宋体" w:eastAsia="宋体" w:cs="宋体"/>
          <w:sz w:val="24"/>
          <w:szCs w:val="24"/>
        </w:rPr>
        <w:t>流程；实践上，为企业优化智能化投资策略、政府制定差异化扶持政策提供数据支撑与决策参考。</w:t>
      </w:r>
    </w:p>
    <w:p w14:paraId="110675D0">
      <w:pPr>
        <w:pStyle w:val="52"/>
        <w:numPr>
          <w:ilvl w:val="0"/>
          <w:numId w:val="3"/>
        </w:numPr>
        <w:bidi w:val="0"/>
        <w:outlineLvl w:val="1"/>
      </w:pPr>
      <w:bookmarkStart w:id="4" w:name="_Toc17265"/>
      <w:r>
        <w:rPr>
          <w:rFonts w:hint="eastAsia"/>
          <w:lang w:val="en-US" w:eastAsia="zh-CN"/>
        </w:rPr>
        <w:t>研究现状综述</w:t>
      </w:r>
      <w:bookmarkEnd w:id="4"/>
    </w:p>
    <w:p w14:paraId="745C309A">
      <w:pPr>
        <w:pStyle w:val="52"/>
        <w:keepNext w:val="0"/>
        <w:keepLines w:val="0"/>
        <w:pageBreakBefore w:val="0"/>
        <w:widowControl/>
        <w:numPr>
          <w:numId w:val="0"/>
        </w:numPr>
        <w:kinsoku/>
        <w:wordWrap/>
        <w:overflowPunct/>
        <w:topLinePunct w:val="0"/>
        <w:autoSpaceDE/>
        <w:autoSpaceDN/>
        <w:bidi w:val="0"/>
        <w:adjustRightInd/>
        <w:snapToGrid/>
        <w:spacing w:line="480" w:lineRule="exact"/>
        <w:ind w:firstLine="420" w:firstLineChars="0"/>
        <w:textAlignment w:val="auto"/>
        <w:rPr>
          <w:sz w:val="24"/>
          <w:szCs w:val="24"/>
        </w:rPr>
      </w:pPr>
      <w:r>
        <w:rPr>
          <w:rFonts w:ascii="宋体" w:hAnsi="宋体" w:eastAsia="宋体" w:cs="宋体"/>
          <w:sz w:val="24"/>
          <w:szCs w:val="24"/>
        </w:rPr>
        <w:t>随着人工智能与数字化转型的快速推进，人工智能对制造业企业提质增效的影响已成为统计建模与产业经济领域的研究热点。目前国内外的研究方法主要分为四类：基于传统计量模型的数字化与生产率研究、基于文本挖掘与词频统计的变量测度方法、基于中介效应与调节效应的机制识别方法，以及基于稳健性与内生性处理的现代统计推断方法。</w:t>
      </w:r>
    </w:p>
    <w:p w14:paraId="3FE260DD">
      <w:pPr>
        <w:pStyle w:val="57"/>
        <w:bidi w:val="0"/>
        <w:outlineLvl w:val="2"/>
        <w:rPr>
          <w:rFonts w:hint="eastAsia"/>
        </w:rPr>
      </w:pPr>
      <w:bookmarkStart w:id="5" w:name="_Toc21362"/>
      <w:r>
        <w:rPr>
          <w:rFonts w:hint="eastAsia"/>
        </w:rPr>
        <w:t>1.</w:t>
      </w:r>
      <w:r>
        <w:t>基于传统计量模型的数字化与生产率研究</w:t>
      </w:r>
      <w:bookmarkEnd w:id="5"/>
    </w:p>
    <w:p w14:paraId="35265E07">
      <w:pPr>
        <w:keepNext w:val="0"/>
        <w:keepLines w:val="0"/>
        <w:pageBreakBefore w:val="0"/>
        <w:widowControl/>
        <w:kinsoku/>
        <w:wordWrap/>
        <w:overflowPunct/>
        <w:topLinePunct w:val="0"/>
        <w:autoSpaceDE/>
        <w:autoSpaceDN/>
        <w:bidi w:val="0"/>
        <w:adjustRightInd/>
        <w:snapToGrid/>
        <w:spacing w:line="480" w:lineRule="exact"/>
        <w:ind w:firstLine="420" w:firstLineChars="0"/>
        <w:textAlignment w:val="auto"/>
        <w:rPr>
          <w:rFonts w:hint="eastAsia" w:ascii="宋体" w:hAnsi="宋体" w:eastAsia="宋体" w:cs="宋体"/>
          <w:sz w:val="24"/>
          <w:szCs w:val="24"/>
        </w:rPr>
      </w:pPr>
      <w:r>
        <w:rPr>
          <w:rFonts w:ascii="宋体" w:hAnsi="宋体" w:eastAsia="宋体" w:cs="宋体"/>
          <w:sz w:val="24"/>
          <w:szCs w:val="24"/>
        </w:rPr>
        <w:t>戚聿东等（2020）[2] 使用双向固定效应模型检验数字化转型对企业利润率的影响，结果显示数字化显著提升企业盈利水平。赵宸宇等（2021）[3] 利用面板 OLS 回归研究数字化转型对就业结构与全要素生产率的影响，发现数字化可优化就业结构、提升生产效率。但传统 OLS 模型难以处理内生性与非线性关系，泛化能力不足，不适用于异质性较强的制造业样本</w:t>
      </w:r>
      <w:r>
        <w:rPr>
          <w:rFonts w:hint="eastAsia" w:ascii="宋体" w:hAnsi="宋体" w:eastAsia="宋体" w:cs="宋体"/>
          <w:sz w:val="24"/>
          <w:szCs w:val="24"/>
        </w:rPr>
        <w:t>。</w:t>
      </w:r>
    </w:p>
    <w:p w14:paraId="1BF1FDEC">
      <w:pPr>
        <w:pStyle w:val="57"/>
        <w:keepNext w:val="0"/>
        <w:keepLines w:val="0"/>
        <w:pageBreakBefore w:val="0"/>
        <w:widowControl/>
        <w:kinsoku/>
        <w:wordWrap/>
        <w:overflowPunct/>
        <w:topLinePunct w:val="0"/>
        <w:autoSpaceDE/>
        <w:autoSpaceDN/>
        <w:bidi w:val="0"/>
        <w:adjustRightInd/>
        <w:snapToGrid/>
        <w:spacing w:line="480" w:lineRule="exact"/>
        <w:textAlignment w:val="auto"/>
        <w:outlineLvl w:val="2"/>
      </w:pPr>
      <w:bookmarkStart w:id="6" w:name="_Toc2578"/>
      <w:r>
        <w:t>2.</w:t>
      </w:r>
      <w:r>
        <w:rPr>
          <w:rFonts w:ascii="宋体" w:hAnsi="宋体" w:eastAsia="宋体" w:cs="宋体"/>
          <w:sz w:val="24"/>
          <w:szCs w:val="24"/>
        </w:rPr>
        <w:t>基于文本挖掘与词频统计的变量测度方法</w:t>
      </w:r>
      <w:bookmarkEnd w:id="6"/>
    </w:p>
    <w:p w14:paraId="7E0CCAEB">
      <w:pPr>
        <w:keepNext w:val="0"/>
        <w:keepLines w:val="0"/>
        <w:pageBreakBefore w:val="0"/>
        <w:widowControl/>
        <w:kinsoku/>
        <w:wordWrap/>
        <w:overflowPunct/>
        <w:topLinePunct w:val="0"/>
        <w:autoSpaceDE/>
        <w:autoSpaceDN/>
        <w:bidi w:val="0"/>
        <w:adjustRightInd/>
        <w:snapToGrid/>
        <w:spacing w:line="480" w:lineRule="exact"/>
        <w:ind w:firstLine="420" w:firstLineChars="0"/>
        <w:textAlignment w:val="auto"/>
        <w:rPr>
          <w:rFonts w:hint="eastAsia" w:ascii="宋体" w:hAnsi="宋体" w:eastAsia="宋体" w:cs="宋体"/>
          <w:sz w:val="24"/>
          <w:szCs w:val="24"/>
        </w:rPr>
      </w:pPr>
      <w:r>
        <w:rPr>
          <w:rFonts w:ascii="宋体" w:hAnsi="宋体" w:eastAsia="宋体" w:cs="宋体"/>
          <w:sz w:val="24"/>
          <w:szCs w:val="24"/>
        </w:rPr>
        <w:t>孟庆斌等（2020）[7] 通过年报词频统计量化企业风险特征，验证了文本信息在企业行为测度中的有效性。戚聿东等（2022）[8] 构建年报词频数字化转型指数，实现了对企业转型强度的连续测度。但这类方法依赖人工词典，且未融合投资、专利等结构化数据，难以全面反映企业真实智能化水平</w:t>
      </w:r>
      <w:r>
        <w:rPr>
          <w:rFonts w:hint="eastAsia" w:ascii="宋体" w:hAnsi="宋体" w:eastAsia="宋体" w:cs="宋体"/>
          <w:sz w:val="24"/>
          <w:szCs w:val="24"/>
        </w:rPr>
        <w:t>。</w:t>
      </w:r>
    </w:p>
    <w:p w14:paraId="4BD19261">
      <w:pPr>
        <w:pStyle w:val="57"/>
        <w:keepNext w:val="0"/>
        <w:keepLines w:val="0"/>
        <w:pageBreakBefore w:val="0"/>
        <w:widowControl/>
        <w:kinsoku/>
        <w:wordWrap/>
        <w:overflowPunct/>
        <w:topLinePunct w:val="0"/>
        <w:autoSpaceDE/>
        <w:autoSpaceDN/>
        <w:bidi w:val="0"/>
        <w:adjustRightInd/>
        <w:snapToGrid/>
        <w:spacing w:line="480" w:lineRule="exact"/>
        <w:textAlignment w:val="auto"/>
        <w:outlineLvl w:val="2"/>
      </w:pPr>
      <w:bookmarkStart w:id="7" w:name="_Toc25012"/>
      <w:r>
        <w:t>3.</w:t>
      </w:r>
      <w:r>
        <w:rPr>
          <w:rFonts w:ascii="宋体" w:hAnsi="宋体" w:eastAsia="宋体" w:cs="宋体"/>
          <w:sz w:val="24"/>
          <w:szCs w:val="24"/>
        </w:rPr>
        <w:t>基于中介效应与调节效应的机制识别方法</w:t>
      </w:r>
      <w:bookmarkEnd w:id="7"/>
    </w:p>
    <w:p w14:paraId="1253C8DD">
      <w:pPr>
        <w:keepNext w:val="0"/>
        <w:keepLines w:val="0"/>
        <w:pageBreakBefore w:val="0"/>
        <w:widowControl/>
        <w:kinsoku/>
        <w:wordWrap/>
        <w:overflowPunct/>
        <w:topLinePunct w:val="0"/>
        <w:autoSpaceDE/>
        <w:autoSpaceDN/>
        <w:bidi w:val="0"/>
        <w:adjustRightInd/>
        <w:snapToGrid/>
        <w:spacing w:line="480" w:lineRule="exact"/>
        <w:ind w:firstLine="420" w:firstLineChars="0"/>
        <w:textAlignment w:val="auto"/>
        <w:rPr>
          <w:rFonts w:hint="eastAsia" w:ascii="宋体" w:hAnsi="宋体" w:eastAsia="宋体" w:cs="宋体"/>
          <w:sz w:val="24"/>
          <w:szCs w:val="24"/>
        </w:rPr>
      </w:pPr>
      <w:r>
        <w:rPr>
          <w:rFonts w:ascii="宋体" w:hAnsi="宋体" w:eastAsia="宋体" w:cs="宋体"/>
          <w:sz w:val="24"/>
          <w:szCs w:val="24"/>
        </w:rPr>
        <w:t>温忠麟等（2014）[4] 提出中介效应三步法，成为传导路径识别的标准范式。刘志成（2022）[5] 基于该方法检验数字化转型对全要素生产率的影响机制，发现技术创新发挥中介作用。部分学者通过分组回归进行异质性分析（黄群慧等，2023）[1]，但组间差异缺乏规范统计检验，结论严谨性有待提升</w:t>
      </w:r>
      <w:r>
        <w:rPr>
          <w:rFonts w:hint="eastAsia" w:ascii="宋体" w:hAnsi="宋体" w:eastAsia="宋体" w:cs="宋体"/>
          <w:sz w:val="24"/>
          <w:szCs w:val="24"/>
        </w:rPr>
        <w:t>。</w:t>
      </w:r>
    </w:p>
    <w:p w14:paraId="2E361A29">
      <w:pPr>
        <w:pStyle w:val="57"/>
        <w:keepNext w:val="0"/>
        <w:keepLines w:val="0"/>
        <w:pageBreakBefore w:val="0"/>
        <w:widowControl/>
        <w:kinsoku/>
        <w:wordWrap/>
        <w:overflowPunct/>
        <w:topLinePunct w:val="0"/>
        <w:autoSpaceDE/>
        <w:autoSpaceDN/>
        <w:bidi w:val="0"/>
        <w:adjustRightInd/>
        <w:snapToGrid/>
        <w:spacing w:line="480" w:lineRule="exact"/>
        <w:textAlignment w:val="auto"/>
        <w:outlineLvl w:val="2"/>
      </w:pPr>
      <w:bookmarkStart w:id="8" w:name="_Toc6653"/>
      <w:r>
        <w:t>4.</w:t>
      </w:r>
      <w:r>
        <w:rPr>
          <w:rFonts w:ascii="宋体" w:hAnsi="宋体" w:eastAsia="宋体" w:cs="宋体"/>
          <w:sz w:val="24"/>
          <w:szCs w:val="24"/>
        </w:rPr>
        <w:t>基于稳健性与内生性处理的现代统计推断方法</w:t>
      </w:r>
      <w:bookmarkEnd w:id="8"/>
    </w:p>
    <w:p w14:paraId="50851F4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firstLine="420" w:firstLineChars="0"/>
        <w:jc w:val="left"/>
        <w:textAlignment w:val="auto"/>
        <w:rPr>
          <w:rFonts w:hint="eastAsia" w:ascii="宋体" w:hAnsi="宋体" w:cs="宋体"/>
          <w:sz w:val="24"/>
          <w:szCs w:val="24"/>
          <w:lang w:eastAsia="zh-CN"/>
        </w:rPr>
      </w:pPr>
      <w:r>
        <w:rPr>
          <w:rFonts w:ascii="宋体" w:hAnsi="宋体" w:eastAsia="宋体" w:cs="宋体"/>
          <w:sz w:val="24"/>
          <w:szCs w:val="24"/>
        </w:rPr>
        <w:t>Goldfarb 等（2023）[6] 使用工具变量法缓解内生性问题，有效识别数字化与企业绩效的因果关系。也有学者通过滞后一期、剔除特殊年份等方式进行稳健性检验。但现有研究常忽视企业固定效应边界检验，易将相关关系过度解读为因果效应，结论适用边界不够清晰</w:t>
      </w:r>
      <w:r>
        <w:rPr>
          <w:rFonts w:hint="eastAsia" w:ascii="宋体" w:hAnsi="宋体" w:cs="宋体"/>
          <w:sz w:val="24"/>
          <w:szCs w:val="24"/>
          <w:lang w:eastAsia="zh-CN"/>
        </w:rPr>
        <w:t>。</w:t>
      </w:r>
    </w:p>
    <w:p w14:paraId="1CA80F0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firstLine="420" w:firstLineChars="0"/>
        <w:jc w:val="left"/>
        <w:textAlignment w:val="auto"/>
        <w:rPr>
          <w:sz w:val="24"/>
          <w:szCs w:val="24"/>
        </w:rPr>
      </w:pPr>
      <w:r>
        <w:rPr>
          <w:rFonts w:ascii="宋体" w:hAnsi="宋体" w:eastAsia="宋体" w:cs="宋体"/>
          <w:sz w:val="24"/>
          <w:szCs w:val="24"/>
        </w:rPr>
        <w:t>与传统计量模型相比，文本挖掘结合高维面板模型更能捕捉企业动态转型特征。戚聿东等（2022）[8] 将文本词频法引入数字化转型研究，孟庆斌等（2020）[7] 也基于年报文本开展企业行为研究。本文受文本挖掘与现代统计推断方法启发，构建了更严谨的实证框架</w:t>
      </w:r>
      <w:r>
        <w:rPr>
          <w:rFonts w:ascii="宋体" w:hAnsi="宋体" w:eastAsia="宋体" w:cs="宋体"/>
          <w:kern w:val="0"/>
          <w:sz w:val="24"/>
          <w:szCs w:val="24"/>
          <w:bdr w:val="none" w:color="auto" w:sz="0" w:space="0"/>
          <w:lang w:val="en-US" w:eastAsia="zh-CN" w:bidi="ar"/>
          <w14:ligatures w14:val="none"/>
        </w:rPr>
        <w:t>。</w:t>
      </w:r>
    </w:p>
    <w:p w14:paraId="3B1169E6">
      <w:pPr>
        <w:pStyle w:val="52"/>
        <w:bidi w:val="0"/>
        <w:outlineLvl w:val="1"/>
        <w:rPr>
          <w:rFonts w:hint="default"/>
          <w:lang w:val="en-US" w:eastAsia="zh-CN"/>
        </w:rPr>
      </w:pPr>
      <w:bookmarkStart w:id="9" w:name="_Toc24200"/>
      <w:r>
        <w:rPr>
          <w:rFonts w:hint="eastAsia"/>
          <w:lang w:eastAsia="zh-CN"/>
        </w:rPr>
        <w:t>（</w:t>
      </w:r>
      <w:r>
        <w:rPr>
          <w:rFonts w:hint="eastAsia"/>
          <w:lang w:val="en-US" w:eastAsia="zh-CN"/>
        </w:rPr>
        <w:t>三）研究难点</w:t>
      </w:r>
      <w:bookmarkEnd w:id="9"/>
    </w:p>
    <w:p w14:paraId="440D97D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firstLine="420" w:firstLineChars="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在探究人工智能赋能制造业提质增效的过程中，第一个核心难点是如何有效量化企业的人工智能应用水平。AI 应用的内涵丰富，包含战略关注、资源投入与技术落地等多个层面，难以用单一财务或专利指标准确刻画。</w:t>
      </w:r>
      <w:r>
        <w:rPr>
          <w:rFonts w:hint="eastAsia" w:ascii="宋体" w:hAnsi="宋体" w:cs="宋体"/>
          <w:kern w:val="0"/>
          <w:sz w:val="24"/>
          <w:szCs w:val="24"/>
          <w:bdr w:val="none" w:color="auto" w:sz="0" w:space="0"/>
          <w:lang w:val="en-US" w:eastAsia="zh-CN" w:bidi="ar"/>
          <w14:ligatures w14:val="none"/>
        </w:rPr>
        <w:t>因此要</w:t>
      </w:r>
      <w:r>
        <w:rPr>
          <w:rFonts w:hint="eastAsia" w:ascii="宋体" w:hAnsi="宋体" w:eastAsia="宋体" w:cs="宋体"/>
          <w:kern w:val="0"/>
          <w:sz w:val="24"/>
          <w:szCs w:val="24"/>
          <w:bdr w:val="none" w:color="auto" w:sz="0" w:space="0"/>
          <w:lang w:val="en-US" w:eastAsia="zh-CN" w:bidi="ar"/>
          <w14:ligatures w14:val="none"/>
        </w:rPr>
        <w:t>将这些信息转换为可分析的结构化数据，不仅需要表层的词频统计，更需要深入挖掘文本背后的战略意图，这对指标构建提出了较高要求</w:t>
      </w:r>
      <w:r>
        <w:rPr>
          <w:rFonts w:hint="eastAsia" w:ascii="宋体" w:hAnsi="宋体" w:cs="宋体"/>
          <w:kern w:val="0"/>
          <w:sz w:val="24"/>
          <w:szCs w:val="24"/>
          <w:bdr w:val="none" w:color="auto" w:sz="0" w:space="0"/>
          <w:lang w:val="en-US" w:eastAsia="zh-CN" w:bidi="ar"/>
          <w14:ligatures w14:val="none"/>
        </w:rPr>
        <w:t>。</w:t>
      </w:r>
    </w:p>
    <w:p w14:paraId="72BF5DE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firstLine="420" w:firstLineChars="0"/>
        <w:jc w:val="left"/>
        <w:textAlignment w:val="auto"/>
        <w:rPr>
          <w:rFonts w:hint="eastAsia" w:ascii="宋体" w:hAnsi="宋体" w:eastAsia="宋体" w:cs="宋体"/>
          <w:sz w:val="24"/>
          <w:szCs w:val="24"/>
        </w:rPr>
      </w:pPr>
      <w:r>
        <w:rPr>
          <w:rFonts w:ascii="宋体" w:hAnsi="宋体" w:eastAsia="宋体" w:cs="宋体"/>
          <w:sz w:val="24"/>
          <w:szCs w:val="24"/>
        </w:rPr>
        <w:t>为了实现这一点，我们需要借助年报文本挖掘方法，通过构建关键词词典、计算词频密度来测度企业的 AI 关注度。然而，这一过程涉及复杂的词典构建与文本清洗工作，同时还需进行参数调整与优化，以确保指标能真实反映企业的智能化水平。因此，AI 应用水平的精准、连续测度成为了本研究的第一个难点</w:t>
      </w:r>
      <w:r>
        <w:rPr>
          <w:rFonts w:hint="eastAsia" w:ascii="宋体" w:hAnsi="宋体" w:eastAsia="宋体" w:cs="宋体"/>
          <w:sz w:val="24"/>
          <w:szCs w:val="24"/>
          <w:bdr w:val="none" w:color="auto" w:sz="0" w:space="0"/>
        </w:rPr>
        <w:t>。</w:t>
      </w:r>
    </w:p>
    <w:p w14:paraId="238E6B93">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right="0" w:rightChars="0" w:firstLine="420" w:firstLineChars="0"/>
        <w:jc w:val="left"/>
        <w:textAlignment w:val="auto"/>
        <w:rPr>
          <w:rFonts w:hint="eastAsia" w:ascii="宋体" w:hAnsi="宋体" w:eastAsia="宋体" w:cs="宋体"/>
          <w:sz w:val="24"/>
          <w:szCs w:val="24"/>
        </w:rPr>
      </w:pPr>
      <w:r>
        <w:rPr>
          <w:rFonts w:ascii="宋体" w:hAnsi="宋体" w:eastAsia="宋体" w:cs="宋体"/>
          <w:sz w:val="24"/>
          <w:szCs w:val="24"/>
        </w:rPr>
        <w:t>第二个核心难点是</w:t>
      </w:r>
      <w:r>
        <w:rPr>
          <w:rFonts w:hint="eastAsia" w:ascii="宋体" w:hAnsi="宋体" w:eastAsia="宋体" w:cs="宋体"/>
          <w:sz w:val="24"/>
          <w:szCs w:val="24"/>
        </w:rPr>
        <w:t>如何科学合成 “提质增效”综合评价指标</w:t>
      </w:r>
      <w:r>
        <w:rPr>
          <w:rFonts w:hint="eastAsia" w:ascii="宋体" w:hAnsi="宋体" w:cs="宋体"/>
          <w:sz w:val="24"/>
          <w:szCs w:val="24"/>
          <w:lang w:eastAsia="zh-CN"/>
        </w:rPr>
        <w:t>。</w:t>
      </w:r>
      <w:r>
        <w:rPr>
          <w:rFonts w:ascii="宋体" w:hAnsi="宋体" w:eastAsia="宋体" w:cs="宋体"/>
          <w:sz w:val="24"/>
          <w:szCs w:val="24"/>
        </w:rPr>
        <w:t>“提质增效” 包含盈利水平、运营效率等多维度内涵，单一指标无法完整反映其丰富内涵。构建兼顾“质量提升”与“效率改善”的综合指数，不仅涉及数据的表层计算，更需要合理的维度划分与权重设定，以确保评价体系的科学性</w:t>
      </w:r>
      <w:r>
        <w:rPr>
          <w:rFonts w:hint="eastAsia" w:ascii="宋体" w:hAnsi="宋体" w:eastAsia="宋体" w:cs="宋体"/>
          <w:sz w:val="24"/>
          <w:szCs w:val="24"/>
          <w:bdr w:val="none" w:color="auto" w:sz="0" w:space="0"/>
        </w:rPr>
        <w:t>。</w:t>
      </w:r>
    </w:p>
    <w:p w14:paraId="6C66F606">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right="0" w:rightChars="0" w:firstLine="420" w:firstLineChars="0"/>
        <w:jc w:val="left"/>
        <w:textAlignment w:val="auto"/>
        <w:rPr>
          <w:rFonts w:hint="eastAsia" w:ascii="宋体" w:hAnsi="宋体" w:eastAsia="宋体" w:cs="宋体"/>
          <w:sz w:val="24"/>
          <w:szCs w:val="24"/>
        </w:rPr>
      </w:pPr>
      <w:r>
        <w:rPr>
          <w:rFonts w:ascii="宋体" w:hAnsi="宋体" w:eastAsia="宋体" w:cs="宋体"/>
          <w:sz w:val="24"/>
          <w:szCs w:val="24"/>
        </w:rPr>
        <w:t>为了实现这一点，我们需要借助熵权法、主成分分析（PCA）等方法构建综合指数。这类方法能够有效融合多维度信息，但过程中涉及复杂的权重校准与交叉验证，增加了指数构建的复杂度。因此，提质增效水平的多维度量化合成成为了本研究的第二个难点</w:t>
      </w:r>
      <w:r>
        <w:rPr>
          <w:rFonts w:hint="eastAsia" w:ascii="宋体" w:hAnsi="宋体" w:eastAsia="宋体" w:cs="宋体"/>
          <w:sz w:val="24"/>
          <w:szCs w:val="24"/>
          <w:bdr w:val="none" w:color="auto" w:sz="0" w:space="0"/>
        </w:rPr>
        <w:t>。</w:t>
      </w:r>
    </w:p>
    <w:p w14:paraId="6F39DB3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firstLine="420" w:firstLineChars="0"/>
        <w:jc w:val="left"/>
        <w:textAlignment w:val="auto"/>
        <w:rPr>
          <w:rFonts w:hint="eastAsia" w:ascii="宋体" w:hAnsi="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第三个核心难点是如何有效控制内生性与遗漏变量问题。企业智能化决策与提质增效水平之间存在双向因果关系，同时企业管理能力、技术积累等不可观测因素也会干扰估计结果，影响结论的可靠性</w:t>
      </w:r>
      <w:r>
        <w:rPr>
          <w:rFonts w:hint="eastAsia" w:ascii="宋体" w:hAnsi="宋体" w:cs="宋体"/>
          <w:kern w:val="0"/>
          <w:sz w:val="24"/>
          <w:szCs w:val="24"/>
          <w:bdr w:val="none" w:color="auto" w:sz="0" w:space="0"/>
          <w:lang w:val="en-US" w:eastAsia="zh-CN" w:bidi="ar"/>
          <w14:ligatures w14:val="none"/>
        </w:rPr>
        <w:t>。</w:t>
      </w:r>
    </w:p>
    <w:p w14:paraId="2FB629A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firstLine="420" w:firstLineChars="0"/>
        <w:jc w:val="left"/>
        <w:textAlignment w:val="auto"/>
        <w:rPr>
          <w:rFonts w:hint="eastAsia" w:ascii="宋体" w:hAnsi="宋体" w:eastAsia="宋体" w:cs="宋体"/>
          <w:sz w:val="24"/>
          <w:szCs w:val="24"/>
        </w:rPr>
      </w:pPr>
      <w:r>
        <w:rPr>
          <w:rFonts w:hint="eastAsia" w:ascii="宋体" w:hAnsi="宋体" w:eastAsia="宋体" w:cs="宋体"/>
          <w:kern w:val="0"/>
          <w:sz w:val="24"/>
          <w:szCs w:val="24"/>
          <w:bdr w:val="none" w:color="auto" w:sz="0" w:space="0"/>
          <w:lang w:val="en-US" w:eastAsia="zh-CN" w:bidi="ar"/>
          <w14:ligatures w14:val="none"/>
        </w:rPr>
        <w:t>为了缓解这一问题，我们采用双向固定效应模型控制个体与时间效应，并结合滞后一期解释变量进行检验。然而，这一过程涉及复杂的模型设定与边界检验，以确保内生性问题得到有效处理。因此，内生性与遗漏变量问题如何克服成为了本研究的第三个难点。</w:t>
      </w:r>
    </w:p>
    <w:p w14:paraId="68B3F8DA">
      <w:pPr>
        <w:pStyle w:val="52"/>
        <w:bidi w:val="0"/>
        <w:outlineLvl w:val="1"/>
        <w:rPr>
          <w:rFonts w:hint="eastAsia"/>
          <w:lang w:val="en-US" w:eastAsia="zh-CN"/>
        </w:rPr>
      </w:pPr>
      <w:bookmarkStart w:id="10" w:name="_Toc2022"/>
      <w:r>
        <w:rPr>
          <w:rFonts w:hint="eastAsia"/>
          <w:lang w:val="en-US" w:eastAsia="zh-CN"/>
        </w:rPr>
        <w:t>（四）本文研究内容与创新</w:t>
      </w:r>
      <w:bookmarkEnd w:id="10"/>
    </w:p>
    <w:p w14:paraId="509EE15F">
      <w:pPr>
        <w:pStyle w:val="57"/>
        <w:keepNext w:val="0"/>
        <w:keepLines w:val="0"/>
        <w:pageBreakBefore w:val="0"/>
        <w:widowControl/>
        <w:kinsoku/>
        <w:wordWrap/>
        <w:overflowPunct/>
        <w:topLinePunct w:val="0"/>
        <w:autoSpaceDE/>
        <w:autoSpaceDN/>
        <w:bidi w:val="0"/>
        <w:adjustRightInd/>
        <w:snapToGrid/>
        <w:spacing w:line="480" w:lineRule="exact"/>
        <w:textAlignment w:val="auto"/>
        <w:outlineLvl w:val="2"/>
        <w:rPr>
          <w:szCs w:val="16"/>
        </w:rPr>
      </w:pPr>
      <w:bookmarkStart w:id="11" w:name="_Toc10562"/>
      <w:r>
        <w:t>1.</w:t>
      </w:r>
      <w:r>
        <w:rPr>
          <w:rFonts w:hint="eastAsia"/>
          <w:lang w:val="en-US" w:eastAsia="zh-CN"/>
        </w:rPr>
        <w:t>主要</w:t>
      </w:r>
      <w:r>
        <w:t>研究内容</w:t>
      </w:r>
      <w:bookmarkEnd w:id="11"/>
    </w:p>
    <w:p w14:paraId="37B0DB1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firstLine="420" w:firstLineChars="0"/>
        <w:jc w:val="left"/>
        <w:textAlignment w:val="auto"/>
        <w:rPr>
          <w:sz w:val="24"/>
          <w:szCs w:val="24"/>
        </w:rPr>
      </w:pPr>
      <w:r>
        <w:rPr>
          <w:rFonts w:hint="eastAsia" w:ascii="宋体" w:hAnsi="宋体" w:eastAsia="宋体" w:cs="宋体"/>
          <w:kern w:val="0"/>
          <w:sz w:val="24"/>
          <w:szCs w:val="24"/>
          <w:bdr w:val="none" w:color="auto" w:sz="0" w:space="0"/>
          <w:lang w:val="en-US" w:eastAsia="zh-CN" w:bidi="ar"/>
          <w14:ligatures w14:val="none"/>
        </w:rPr>
        <w:t>图1阐述了本文的核心研究思路，即采用 “文本挖掘 + 面板计量 + 机制检验 + 边界验证” 的实证研究框架：首先，构建 2019-2024 年 A 股制造业上市公司平衡面板数据，完成数据清洗与预处理；其次，基于年报文本挖掘构建企业 AI 关注度核心指标，从质量与效率双维度合成提质增效综合指数；再次，采用双向固定效应模型检验 AI 应用对企业提质增效的影响，并引入中介效应模型识别传导路径；最后，通过异质性分析与多重稳健性检验明确效应差异，并开展企业固定效应边界检验，严谨界定结论适用范围。</w:t>
      </w:r>
    </w:p>
    <w:p w14:paraId="25F6BCFA">
      <w:pPr>
        <w:pStyle w:val="57"/>
        <w:keepNext w:val="0"/>
        <w:keepLines w:val="0"/>
        <w:pageBreakBefore w:val="0"/>
        <w:widowControl/>
        <w:kinsoku/>
        <w:wordWrap/>
        <w:overflowPunct/>
        <w:topLinePunct w:val="0"/>
        <w:autoSpaceDE/>
        <w:autoSpaceDN/>
        <w:bidi w:val="0"/>
        <w:adjustRightInd/>
        <w:snapToGrid/>
        <w:spacing w:line="480" w:lineRule="exact"/>
        <w:textAlignment w:val="auto"/>
        <w:outlineLvl w:val="2"/>
      </w:pPr>
      <w:bookmarkStart w:id="12" w:name="_Toc9595"/>
      <w:r>
        <w:rPr>
          <w:rFonts w:hint="eastAsia"/>
          <w:b w:val="0"/>
          <w:bCs w:val="0"/>
          <w:lang w:eastAsia="zh-CN"/>
        </w:rPr>
        <w:t>（</w:t>
      </w:r>
      <w:r>
        <w:rPr>
          <w:rFonts w:hint="eastAsia"/>
          <w:b w:val="0"/>
          <w:bCs w:val="0"/>
          <w:lang w:val="en-US" w:eastAsia="zh-CN"/>
        </w:rPr>
        <w:t>1）</w:t>
      </w:r>
      <w:r>
        <w:rPr>
          <w:rFonts w:ascii="宋体" w:hAnsi="宋体" w:eastAsia="宋体" w:cs="宋体"/>
          <w:b w:val="0"/>
          <w:bCs w:val="0"/>
          <w:sz w:val="24"/>
          <w:szCs w:val="24"/>
        </w:rPr>
        <w:t>数据采集与预处理</w:t>
      </w:r>
      <w:bookmarkEnd w:id="12"/>
    </w:p>
    <w:p w14:paraId="308BADB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firstLine="420" w:firstLineChars="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ascii="宋体" w:hAnsi="宋体" w:eastAsia="宋体" w:cs="宋体"/>
          <w:sz w:val="24"/>
          <w:szCs w:val="24"/>
        </w:rPr>
        <w:t>本文以 2019-2024 年中国 A 股制造业上市公司为研究样本，数据来源包括：CSMAR 数据库企业财务与治理数据、巨潮资讯网公开年报文本、手工整理的 AI 投资与专利数据。预处理过程严格遵循实证规范：剔除 ST/*ST、资不抵债及核心数据缺失样本，对连续变量进行 1% 双侧缩尾处理，采用线性插值补充少量缺失值，最终构建 65 家企业、198 个企业 - 年份观测值的平衡面板数据，为后续建模提供可靠数据支撑</w:t>
      </w:r>
      <w:r>
        <w:rPr>
          <w:rFonts w:hint="eastAsia" w:ascii="宋体" w:hAnsi="宋体" w:cs="宋体"/>
          <w:sz w:val="24"/>
          <w:szCs w:val="24"/>
          <w:lang w:eastAsia="zh-CN"/>
        </w:rPr>
        <w:t>。</w:t>
      </w:r>
    </w:p>
    <w:p w14:paraId="1CD15D13">
      <w:pPr>
        <w:pStyle w:val="57"/>
        <w:keepNext w:val="0"/>
        <w:keepLines w:val="0"/>
        <w:pageBreakBefore w:val="0"/>
        <w:widowControl/>
        <w:kinsoku/>
        <w:wordWrap/>
        <w:overflowPunct/>
        <w:topLinePunct w:val="0"/>
        <w:autoSpaceDE/>
        <w:autoSpaceDN/>
        <w:bidi w:val="0"/>
        <w:adjustRightInd/>
        <w:snapToGrid/>
        <w:spacing w:line="480" w:lineRule="exact"/>
        <w:textAlignment w:val="auto"/>
        <w:outlineLvl w:val="2"/>
        <w:rPr>
          <w:rFonts w:hint="default"/>
          <w:lang w:val="en-US" w:eastAsia="zh-CN"/>
        </w:rPr>
      </w:pPr>
      <w:bookmarkStart w:id="13" w:name="_Toc9689"/>
      <w:r>
        <w:rPr>
          <w:rFonts w:hint="eastAsia"/>
          <w:b w:val="0"/>
          <w:bCs w:val="0"/>
          <w:lang w:eastAsia="zh-CN"/>
        </w:rPr>
        <w:t>（</w:t>
      </w:r>
      <w:r>
        <w:rPr>
          <w:rFonts w:hint="eastAsia"/>
          <w:b w:val="0"/>
          <w:bCs w:val="0"/>
          <w:lang w:val="en-US" w:eastAsia="zh-CN"/>
        </w:rPr>
        <w:t>2）</w:t>
      </w:r>
      <w:r>
        <w:rPr>
          <w:rFonts w:ascii="宋体" w:hAnsi="宋体" w:eastAsia="宋体" w:cs="宋体"/>
          <w:b w:val="0"/>
          <w:bCs w:val="0"/>
          <w:sz w:val="24"/>
          <w:szCs w:val="24"/>
        </w:rPr>
        <w:t>核心变量构造</w:t>
      </w:r>
      <w:bookmarkEnd w:id="13"/>
    </w:p>
    <w:p w14:paraId="5AB94F38">
      <w:pPr>
        <w:keepNext w:val="0"/>
        <w:keepLines w:val="0"/>
        <w:pageBreakBefore w:val="0"/>
        <w:widowControl/>
        <w:kinsoku/>
        <w:wordWrap/>
        <w:overflowPunct/>
        <w:topLinePunct w:val="0"/>
        <w:autoSpaceDE/>
        <w:autoSpaceDN/>
        <w:bidi w:val="0"/>
        <w:adjustRightInd/>
        <w:snapToGrid/>
        <w:spacing w:line="480" w:lineRule="exact"/>
        <w:ind w:firstLine="420" w:firstLineChars="0"/>
        <w:textAlignment w:val="auto"/>
        <w:rPr>
          <w:rFonts w:hint="eastAsia" w:ascii="宋体" w:hAnsi="宋体" w:cs="宋体"/>
          <w:sz w:val="24"/>
          <w:szCs w:val="24"/>
          <w:lang w:val="en-US" w:eastAsia="zh-CN"/>
        </w:rPr>
      </w:pPr>
      <w:r>
        <w:rPr>
          <w:rFonts w:hint="eastAsia" w:ascii="宋体" w:hAnsi="宋体" w:cs="宋体"/>
          <w:sz w:val="24"/>
          <w:szCs w:val="24"/>
          <w:lang w:val="en-US" w:eastAsia="zh-CN"/>
        </w:rPr>
        <w:t>核心解释变量：AI 关注度：采用年报文本挖掘法，通过构建 AI 关键词词典，计算词频密度并结合 AI 投资、专利信息，合成多维度 AI 应用指数，实现对企业智能化转型强度的连续、动态测度。</w:t>
      </w:r>
    </w:p>
    <w:p w14:paraId="7339B329">
      <w:pPr>
        <w:keepNext w:val="0"/>
        <w:keepLines w:val="0"/>
        <w:pageBreakBefore w:val="0"/>
        <w:widowControl/>
        <w:kinsoku/>
        <w:wordWrap/>
        <w:overflowPunct/>
        <w:topLinePunct w:val="0"/>
        <w:autoSpaceDE/>
        <w:autoSpaceDN/>
        <w:bidi w:val="0"/>
        <w:adjustRightInd/>
        <w:snapToGrid/>
        <w:spacing w:line="480" w:lineRule="exact"/>
        <w:ind w:firstLine="420" w:firstLineChars="0"/>
        <w:textAlignment w:val="auto"/>
        <w:rPr>
          <w:rFonts w:hint="eastAsia" w:ascii="宋体" w:hAnsi="宋体" w:cs="宋体"/>
          <w:sz w:val="24"/>
          <w:szCs w:val="24"/>
          <w:lang w:val="en-US" w:eastAsia="zh-CN"/>
        </w:rPr>
      </w:pPr>
      <w:r>
        <w:rPr>
          <w:rFonts w:hint="eastAsia" w:ascii="宋体" w:hAnsi="宋体" w:cs="宋体"/>
          <w:sz w:val="24"/>
          <w:szCs w:val="24"/>
          <w:lang w:val="en-US" w:eastAsia="zh-CN"/>
        </w:rPr>
        <w:t>被解释变量：提质增效综合指数：从 “质量提升” 与 “效率改善” 双维度，选取 ROA、ROE、营业收入增长率、总资产周转率等指标，采用等权法构建综合评价指数，并以 LP 法测算的全要素生产率作为稳健性指标，全面刻画企业高质量发展水平。</w:t>
      </w:r>
    </w:p>
    <w:p w14:paraId="0C27E959">
      <w:pPr>
        <w:pStyle w:val="57"/>
        <w:bidi w:val="0"/>
        <w:rPr>
          <w:rFonts w:hint="default"/>
          <w:b w:val="0"/>
          <w:bCs w:val="0"/>
          <w:lang w:val="en-US" w:eastAsia="zh-CN"/>
        </w:rPr>
      </w:pPr>
      <w:r>
        <w:rPr>
          <w:rFonts w:hint="eastAsia"/>
          <w:b w:val="0"/>
          <w:bCs w:val="0"/>
          <w:lang w:val="en-US" w:eastAsia="zh-CN"/>
        </w:rPr>
        <w:t>（3）基准回归分析</w:t>
      </w:r>
    </w:p>
    <w:p w14:paraId="4336B585">
      <w:pPr>
        <w:keepNext w:val="0"/>
        <w:keepLines w:val="0"/>
        <w:pageBreakBefore w:val="0"/>
        <w:widowControl/>
        <w:kinsoku/>
        <w:wordWrap/>
        <w:overflowPunct/>
        <w:topLinePunct w:val="0"/>
        <w:autoSpaceDE/>
        <w:autoSpaceDN/>
        <w:bidi w:val="0"/>
        <w:adjustRightInd/>
        <w:snapToGrid/>
        <w:spacing w:line="480" w:lineRule="exact"/>
        <w:ind w:firstLine="420" w:firstLineChars="0"/>
        <w:textAlignment w:val="auto"/>
        <w:rPr>
          <w:rFonts w:hint="eastAsia" w:ascii="宋体" w:hAnsi="宋体" w:cs="宋体"/>
          <w:sz w:val="24"/>
          <w:szCs w:val="24"/>
          <w:lang w:eastAsia="zh-CN"/>
        </w:rPr>
      </w:pPr>
      <w:r>
        <w:rPr>
          <w:rFonts w:hint="eastAsia" w:ascii="宋体" w:hAnsi="宋体" w:eastAsia="宋体" w:cs="宋体"/>
          <w:sz w:val="24"/>
          <w:szCs w:val="24"/>
        </w:rPr>
        <w:t>本文采用双向固定效应模型开展基准回归，在控制企业个体固定效应与年份时间效应的基础上，检验 AI 关注度对企业提质增效的影响，并使用公司层面聚类稳健标准误，有效缓解遗漏变量偏误与异方差问题，确保回归结果的可靠性</w:t>
      </w:r>
      <w:r>
        <w:rPr>
          <w:rFonts w:hint="eastAsia" w:ascii="宋体" w:hAnsi="宋体" w:cs="宋体"/>
          <w:sz w:val="24"/>
          <w:szCs w:val="24"/>
          <w:lang w:eastAsia="zh-CN"/>
        </w:rPr>
        <w:t>。(4) 机制与异质性分析</w:t>
      </w:r>
    </w:p>
    <w:p w14:paraId="52BC4CD6">
      <w:pPr>
        <w:keepNext w:val="0"/>
        <w:keepLines w:val="0"/>
        <w:pageBreakBefore w:val="0"/>
        <w:widowControl/>
        <w:kinsoku/>
        <w:wordWrap/>
        <w:overflowPunct/>
        <w:topLinePunct w:val="0"/>
        <w:autoSpaceDE/>
        <w:autoSpaceDN/>
        <w:bidi w:val="0"/>
        <w:adjustRightInd/>
        <w:snapToGrid/>
        <w:spacing w:line="480" w:lineRule="exact"/>
        <w:ind w:firstLine="420" w:firstLineChars="0"/>
        <w:textAlignment w:val="auto"/>
        <w:rPr>
          <w:rFonts w:hint="eastAsia" w:ascii="宋体" w:hAnsi="宋体" w:cs="宋体"/>
          <w:sz w:val="24"/>
          <w:szCs w:val="24"/>
          <w:lang w:eastAsia="zh-CN"/>
        </w:rPr>
      </w:pPr>
      <w:r>
        <w:rPr>
          <w:rFonts w:hint="eastAsia" w:ascii="宋体" w:hAnsi="宋体" w:cs="宋体"/>
          <w:sz w:val="24"/>
          <w:szCs w:val="24"/>
          <w:lang w:eastAsia="zh-CN"/>
        </w:rPr>
        <w:t>中介效应检验：基于温忠麟三步法，检验 AI 投资在 AI 关注度与提质增效之间的部分中介效应，识别 “AI 战略关注→AI 投资增加→提质增效” 的传导路径。</w:t>
      </w:r>
    </w:p>
    <w:p w14:paraId="3ADC6642">
      <w:pPr>
        <w:keepNext w:val="0"/>
        <w:keepLines w:val="0"/>
        <w:pageBreakBefore w:val="0"/>
        <w:widowControl/>
        <w:kinsoku/>
        <w:wordWrap/>
        <w:overflowPunct/>
        <w:topLinePunct w:val="0"/>
        <w:autoSpaceDE/>
        <w:autoSpaceDN/>
        <w:bidi w:val="0"/>
        <w:adjustRightInd/>
        <w:snapToGrid/>
        <w:spacing w:line="480" w:lineRule="exact"/>
        <w:ind w:firstLine="420" w:firstLineChars="0"/>
        <w:textAlignment w:val="auto"/>
        <w:rPr>
          <w:rFonts w:hint="eastAsia" w:ascii="宋体" w:hAnsi="宋体" w:cs="宋体"/>
          <w:sz w:val="24"/>
          <w:szCs w:val="24"/>
          <w:lang w:eastAsia="zh-CN"/>
        </w:rPr>
      </w:pPr>
      <w:r>
        <w:rPr>
          <w:rFonts w:hint="eastAsia" w:ascii="宋体" w:hAnsi="宋体" w:cs="宋体"/>
          <w:sz w:val="24"/>
          <w:szCs w:val="24"/>
          <w:lang w:eastAsia="zh-CN"/>
        </w:rPr>
        <w:t>异质性分析：按企业产权性质、区域位置、技术属性进行分组回归，比较不同类型企业的赋能效果差异，揭示 AI 应用效应的边界条件。</w:t>
      </w:r>
    </w:p>
    <w:p w14:paraId="71B5A9EE">
      <w:pPr>
        <w:keepNext w:val="0"/>
        <w:keepLines w:val="0"/>
        <w:pageBreakBefore w:val="0"/>
        <w:widowControl/>
        <w:kinsoku/>
        <w:wordWrap/>
        <w:overflowPunct/>
        <w:topLinePunct w:val="0"/>
        <w:autoSpaceDE/>
        <w:autoSpaceDN/>
        <w:bidi w:val="0"/>
        <w:adjustRightInd/>
        <w:snapToGrid/>
        <w:spacing w:line="480" w:lineRule="exact"/>
        <w:textAlignment w:val="auto"/>
        <w:rPr>
          <w:rFonts w:hint="eastAsia" w:ascii="宋体" w:hAnsi="宋体" w:cs="宋体"/>
          <w:sz w:val="24"/>
          <w:szCs w:val="24"/>
          <w:lang w:eastAsia="zh-CN"/>
        </w:rPr>
      </w:pPr>
      <w:r>
        <w:rPr>
          <w:rFonts w:hint="eastAsia" w:ascii="宋体" w:hAnsi="宋体" w:cs="宋体"/>
          <w:sz w:val="24"/>
          <w:szCs w:val="24"/>
          <w:lang w:eastAsia="zh-CN"/>
        </w:rPr>
        <w:t>(5) 稳健性检验与边界验证</w:t>
      </w:r>
    </w:p>
    <w:p w14:paraId="130BF080">
      <w:pPr>
        <w:keepNext w:val="0"/>
        <w:keepLines w:val="0"/>
        <w:pageBreakBefore w:val="0"/>
        <w:widowControl/>
        <w:kinsoku/>
        <w:wordWrap/>
        <w:overflowPunct/>
        <w:topLinePunct w:val="0"/>
        <w:autoSpaceDE/>
        <w:autoSpaceDN/>
        <w:bidi w:val="0"/>
        <w:adjustRightInd/>
        <w:snapToGrid/>
        <w:spacing w:line="480" w:lineRule="exact"/>
        <w:ind w:firstLine="420" w:firstLineChars="0"/>
        <w:textAlignment w:val="auto"/>
        <w:rPr>
          <w:rFonts w:hint="eastAsia" w:ascii="宋体" w:hAnsi="宋体" w:cs="宋体"/>
          <w:sz w:val="24"/>
          <w:szCs w:val="24"/>
          <w:lang w:eastAsia="zh-CN"/>
        </w:rPr>
      </w:pPr>
      <w:r>
        <w:rPr>
          <w:rFonts w:hint="eastAsia" w:ascii="宋体" w:hAnsi="宋体" w:cs="宋体"/>
          <w:sz w:val="24"/>
          <w:szCs w:val="24"/>
          <w:lang w:eastAsia="zh-CN"/>
        </w:rPr>
        <w:t>通过替换核心变量、滞后一期解释变量、剔除特殊年份等方式开展多重稳健性检验；引入企业固定效应边界检验，明确区分统计相关关系与严格因果效应，避免结论过度解读，体现研究的严谨性与规范性。</w:t>
      </w:r>
    </w:p>
    <w:p w14:paraId="0DC15657">
      <w:pPr>
        <w:pStyle w:val="57"/>
        <w:bidi w:val="0"/>
        <w:rPr>
          <w:rFonts w:hint="default"/>
          <w:lang w:val="en-US" w:eastAsia="zh-CN"/>
        </w:rPr>
      </w:pPr>
      <w:r>
        <w:rPr>
          <w:rFonts w:hint="eastAsia"/>
          <w:lang w:val="en-US" w:eastAsia="zh-CN"/>
        </w:rPr>
        <w:t>2.主要创新点</w:t>
      </w:r>
    </w:p>
    <w:p w14:paraId="346A4E20">
      <w:pPr>
        <w:keepNext w:val="0"/>
        <w:keepLines w:val="0"/>
        <w:pageBreakBefore w:val="0"/>
        <w:widowControl/>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t>(1) 核心变量测度方法创新：文本挖掘与结构化数据融合</w:t>
      </w:r>
    </w:p>
    <w:p w14:paraId="04401F14">
      <w:pPr>
        <w:keepNext w:val="0"/>
        <w:keepLines w:val="0"/>
        <w:pageBreakBefore w:val="0"/>
        <w:widowControl/>
        <w:kinsoku/>
        <w:wordWrap/>
        <w:overflowPunct/>
        <w:topLinePunct w:val="0"/>
        <w:autoSpaceDE/>
        <w:autoSpaceDN/>
        <w:bidi w:val="0"/>
        <w:adjustRightInd/>
        <w:snapToGrid/>
        <w:spacing w:line="480" w:lineRule="exact"/>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本文突破传统单一指标的局限，构建了融合年报文本词频、AI 投资与专利信息的多维度 AI 关注度指标。相较于传统的投资、专利或虚拟变量，该指标能够更连续、动态地反映企业的智能化战略关注与实际投入强度，显著提升了变量的测量精度与信息含量，为企业行为测度提供了新的方法路径。</w:t>
      </w:r>
    </w:p>
    <w:p w14:paraId="6B6EAF2E">
      <w:pPr>
        <w:keepNext w:val="0"/>
        <w:keepLines w:val="0"/>
        <w:pageBreakBefore w:val="0"/>
        <w:widowControl/>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t>(2) 提质增效评价体系创新：双维度综合指数构建</w:t>
      </w:r>
    </w:p>
    <w:p w14:paraId="1517DF22">
      <w:pPr>
        <w:keepNext w:val="0"/>
        <w:keepLines w:val="0"/>
        <w:pageBreakBefore w:val="0"/>
        <w:widowControl/>
        <w:kinsoku/>
        <w:wordWrap/>
        <w:overflowPunct/>
        <w:topLinePunct w:val="0"/>
        <w:autoSpaceDE/>
        <w:autoSpaceDN/>
        <w:bidi w:val="0"/>
        <w:adjustRightInd/>
        <w:snapToGrid/>
        <w:spacing w:line="480" w:lineRule="exact"/>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本文紧扣 “提质增效” 的政策内涵，构建了包含质量子指数与效率子指数的双维度综合评价体系，克服了单一财务或生产率指标无法全面刻画企业高质量发展水平的缺陷。通过熵权法、主成分分析等方法进行多口径稳健检验，确保评价体系的科学性与可靠性，与研究主题高度贴合。</w:t>
      </w:r>
    </w:p>
    <w:p w14:paraId="669D1B6A">
      <w:pPr>
        <w:keepNext w:val="0"/>
        <w:keepLines w:val="0"/>
        <w:pageBreakBefore w:val="0"/>
        <w:widowControl/>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t>(3) 统计建模框架创新：完整的实证研究范式设计</w:t>
      </w:r>
    </w:p>
    <w:p w14:paraId="29C1DE5D">
      <w:pPr>
        <w:keepNext w:val="0"/>
        <w:keepLines w:val="0"/>
        <w:pageBreakBefore w:val="0"/>
        <w:widowControl/>
        <w:kinsoku/>
        <w:wordWrap/>
        <w:overflowPunct/>
        <w:topLinePunct w:val="0"/>
        <w:autoSpaceDE/>
        <w:autoSpaceDN/>
        <w:bidi w:val="0"/>
        <w:adjustRightInd/>
        <w:snapToGrid/>
        <w:spacing w:line="480" w:lineRule="exact"/>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本文构建了 “基准回归 — 中介机制 — 异质性分析 — 多重稳健性 — 边界验证” 的完整统计建模框架 ，严格遵循现代实证研究范式。特别是引入企业固定效应边界检验，主动区分统计相关关系与严格因果效应，明确结论的适用边界，避免了过度解读，体现了统计推断的严谨性与规范性，是本文区别于同类研究的关键亮点。</w:t>
      </w:r>
    </w:p>
    <w:p w14:paraId="287C8D90">
      <w:pPr>
        <w:keepNext w:val="0"/>
        <w:keepLines w:val="0"/>
        <w:pageBreakBefore w:val="0"/>
        <w:widowControl/>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t>(4) 方法融合应用创新：文本挖掘与面板计量的有机结合</w:t>
      </w:r>
    </w:p>
    <w:p w14:paraId="642C7374">
      <w:pPr>
        <w:keepNext w:val="0"/>
        <w:keepLines w:val="0"/>
        <w:pageBreakBefore w:val="0"/>
        <w:widowControl/>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t>本文将文本挖掘技术与面板计量模型深度融合，实现了非结构化文本数据与结构化财务数据的联合分析。通过年报文本挖掘构建 AI 关注度指标，突破了传统计量模型对结构化数据的依赖，丰富了数字化转型领域的实证研究方法，为同类研究提供了可借鉴的研究思路。</w:t>
      </w:r>
    </w:p>
    <w:p w14:paraId="6AE88781">
      <w:pPr>
        <w:pStyle w:val="53"/>
        <w:bidi w:val="0"/>
        <w:outlineLvl w:val="0"/>
        <w:rPr>
          <w:rFonts w:hint="default"/>
          <w:lang w:val="en-US" w:eastAsia="zh-CN"/>
        </w:rPr>
      </w:pPr>
      <w:bookmarkStart w:id="14" w:name="_Toc17361"/>
      <w:r>
        <w:rPr>
          <w:rFonts w:hint="eastAsia"/>
          <w:lang w:val="en-US" w:eastAsia="zh-CN"/>
        </w:rPr>
        <w:t>数据处理</w:t>
      </w:r>
      <w:bookmarkEnd w:id="14"/>
      <w:r>
        <w:rPr>
          <w:rFonts w:hint="eastAsia"/>
          <w:lang w:val="en-US" w:eastAsia="zh-CN"/>
        </w:rPr>
        <w:t xml:space="preserve"> </w:t>
      </w:r>
    </w:p>
    <w:p w14:paraId="37C4E3F7">
      <w:pPr>
        <w:pStyle w:val="52"/>
        <w:bidi w:val="0"/>
        <w:outlineLvl w:val="1"/>
        <w:rPr>
          <w:rFonts w:hint="eastAsia"/>
        </w:rPr>
      </w:pPr>
      <w:bookmarkStart w:id="15" w:name="_Toc21024"/>
      <w:r>
        <w:rPr>
          <w:rFonts w:hint="eastAsia"/>
        </w:rPr>
        <w:t>（一）数据来源与样本筛选</w:t>
      </w:r>
      <w:bookmarkEnd w:id="15"/>
    </w:p>
    <w:p w14:paraId="031B6D82">
      <w:pPr>
        <w:keepNext w:val="0"/>
        <w:keepLines w:val="0"/>
        <w:widowControl/>
        <w:suppressLineNumbers w:val="0"/>
        <w:pBdr>
          <w:top w:val="none" w:color="auto" w:sz="0" w:space="0"/>
          <w:left w:val="none" w:color="auto" w:sz="0" w:space="0"/>
          <w:bottom w:val="none" w:color="auto" w:sz="0" w:space="0"/>
          <w:right w:val="none" w:color="auto" w:sz="0" w:space="0"/>
        </w:pBdr>
        <w:autoSpaceDE w:val="0"/>
        <w:autoSpaceDN/>
        <w:spacing w:before="0" w:beforeAutospacing="0" w:after="0" w:afterAutospacing="0" w:line="480" w:lineRule="exact"/>
        <w:ind w:left="0" w:right="0" w:firstLine="420" w:firstLineChars="0"/>
        <w:jc w:val="left"/>
        <w:rPr>
          <w:rFonts w:hint="eastAsia" w:ascii="宋体" w:hAnsi="宋体" w:eastAsia="宋体" w:cs="宋体"/>
          <w:kern w:val="0"/>
          <w:sz w:val="24"/>
          <w:szCs w:val="24"/>
          <w:lang w:val="en-US" w:eastAsia="zh-CN" w:bidi="ar"/>
          <w14:ligatures w14:val="none"/>
        </w:rPr>
      </w:pPr>
      <w:r>
        <w:rPr>
          <w:rFonts w:ascii="宋体" w:hAnsi="宋体" w:eastAsia="宋体" w:cs="宋体"/>
          <w:sz w:val="24"/>
          <w:szCs w:val="24"/>
        </w:rPr>
        <w:t>本文研究数据整合三大权威渠道</w:t>
      </w:r>
      <w:r>
        <w:rPr>
          <w:rFonts w:hint="eastAsia" w:ascii="宋体" w:hAnsi="宋体" w:eastAsia="宋体" w:cs="宋体"/>
          <w:kern w:val="0"/>
          <w:sz w:val="24"/>
          <w:szCs w:val="24"/>
          <w:lang w:val="en-US" w:eastAsia="zh-CN" w:bidi="ar"/>
          <w14:ligatures w14:val="none"/>
        </w:rPr>
        <w:t>：企业财务数据、公司治理数据来自 CSMAR（国泰安）数据库；</w:t>
      </w:r>
      <w:r>
        <w:rPr>
          <w:rFonts w:ascii="宋体" w:hAnsi="宋体" w:eastAsia="宋体" w:cs="宋体"/>
          <w:sz w:val="24"/>
          <w:szCs w:val="24"/>
        </w:rPr>
        <w:t>企业年报文本数据</w:t>
      </w:r>
      <w:r>
        <w:rPr>
          <w:rFonts w:hint="eastAsia" w:ascii="宋体" w:hAnsi="宋体" w:eastAsia="宋体" w:cs="宋体"/>
          <w:kern w:val="0"/>
          <w:sz w:val="24"/>
          <w:szCs w:val="24"/>
          <w:lang w:val="en-US" w:eastAsia="zh-CN" w:bidi="ar"/>
          <w14:ligatures w14:val="none"/>
        </w:rPr>
        <w:t>来自巨潮资讯网披露的 A 股制造业上市公司年度报告；AI 投资、AI 专利数据通过手工整理与文本匹配获得。</w:t>
      </w:r>
    </w:p>
    <w:p w14:paraId="4F2EFAFF">
      <w:pPr>
        <w:keepNext w:val="0"/>
        <w:keepLines w:val="0"/>
        <w:widowControl/>
        <w:suppressLineNumbers w:val="0"/>
        <w:pBdr>
          <w:top w:val="none" w:color="auto" w:sz="0" w:space="0"/>
          <w:left w:val="none" w:color="auto" w:sz="0" w:space="0"/>
          <w:bottom w:val="none" w:color="auto" w:sz="0" w:space="0"/>
          <w:right w:val="none" w:color="auto" w:sz="0" w:space="0"/>
        </w:pBdr>
        <w:autoSpaceDE w:val="0"/>
        <w:autoSpaceDN/>
        <w:spacing w:before="0" w:beforeAutospacing="0" w:after="0" w:afterAutospacing="0" w:line="480" w:lineRule="exact"/>
        <w:ind w:left="0" w:right="0" w:firstLine="420" w:firstLineChars="0"/>
        <w:jc w:val="left"/>
        <w:rPr>
          <w:rFonts w:hint="eastAsia" w:ascii="宋体" w:hAnsi="宋体" w:eastAsia="宋体" w:cs="宋体"/>
          <w:color w:val="000000"/>
          <w:kern w:val="0"/>
          <w:sz w:val="24"/>
          <w:szCs w:val="24"/>
          <w:lang w:val="en-US" w:eastAsia="zh-CN" w:bidi="ar"/>
          <w14:ligatures w14:val="none"/>
          <w:woUserID w:val="2"/>
        </w:rPr>
      </w:pPr>
      <w:r>
        <w:rPr>
          <w:rFonts w:hint="eastAsia" w:ascii="宋体" w:hAnsi="宋体" w:eastAsia="宋体" w:cs="宋体"/>
          <w:color w:val="000000"/>
          <w:kern w:val="0"/>
          <w:sz w:val="24"/>
          <w:szCs w:val="24"/>
          <w:lang w:val="en-US" w:eastAsia="zh-CN" w:bidi="ar"/>
          <w14:ligatures w14:val="none"/>
          <w:woUserID w:val="2"/>
        </w:rPr>
        <w:t>本文选取 2012-2024 年中国 A 股制造业上市公司为初始研究样本，并按照以下标准进行筛选：</w:t>
      </w:r>
    </w:p>
    <w:p w14:paraId="637FCA2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autoSpaceDE w:val="0"/>
        <w:autoSpaceDN/>
        <w:spacing w:before="0" w:beforeAutospacing="0" w:after="0" w:afterAutospacing="0" w:line="480" w:lineRule="exact"/>
        <w:ind w:left="0" w:right="0" w:firstLine="420" w:firstLineChars="0"/>
        <w:jc w:val="left"/>
        <w:rPr>
          <w:rFonts w:hint="eastAsia" w:ascii="宋体" w:hAnsi="宋体" w:eastAsia="宋体" w:cs="宋体"/>
          <w:color w:val="000000"/>
          <w:kern w:val="0"/>
          <w:sz w:val="24"/>
          <w:szCs w:val="24"/>
          <w:lang w:val="en-US" w:eastAsia="zh-CN" w:bidi="ar"/>
          <w14:ligatures w14:val="none"/>
          <w:woUserID w:val="2"/>
        </w:rPr>
      </w:pPr>
      <w:r>
        <w:rPr>
          <w:rFonts w:hint="eastAsia" w:ascii="宋体" w:hAnsi="宋体" w:eastAsia="宋体" w:cs="宋体"/>
          <w:color w:val="000000"/>
          <w:kern w:val="0"/>
          <w:sz w:val="24"/>
          <w:szCs w:val="24"/>
          <w:lang w:val="en-US" w:eastAsia="zh-CN" w:bidi="ar"/>
          <w14:ligatures w14:val="none"/>
          <w:woUserID w:val="2"/>
        </w:rPr>
        <w:t>剔除 ST、*ST 和 PT 类上市公司；</w:t>
      </w:r>
    </w:p>
    <w:p w14:paraId="4544888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autoSpaceDE w:val="0"/>
        <w:autoSpaceDN/>
        <w:spacing w:before="0" w:beforeAutospacing="0" w:after="0" w:afterAutospacing="0" w:line="480" w:lineRule="exact"/>
        <w:ind w:left="0" w:leftChars="0" w:right="0" w:rightChars="0" w:firstLine="420" w:firstLineChars="0"/>
        <w:jc w:val="left"/>
        <w:rPr>
          <w:rFonts w:hint="eastAsia" w:ascii="宋体" w:hAnsi="宋体" w:eastAsia="宋体" w:cs="宋体"/>
          <w:color w:val="000000"/>
          <w:kern w:val="0"/>
          <w:sz w:val="24"/>
          <w:szCs w:val="24"/>
          <w:lang w:val="en-US" w:eastAsia="zh-CN" w:bidi="ar"/>
          <w14:ligatures w14:val="none"/>
          <w:woUserID w:val="2"/>
        </w:rPr>
      </w:pPr>
      <w:r>
        <w:rPr>
          <w:rFonts w:ascii="宋体" w:hAnsi="宋体" w:eastAsia="宋体" w:cs="宋体"/>
          <w:sz w:val="24"/>
          <w:szCs w:val="24"/>
        </w:rPr>
        <w:t>剔除资不抵债</w:t>
      </w:r>
      <w:r>
        <w:rPr>
          <w:rFonts w:hint="eastAsia" w:ascii="宋体" w:hAnsi="宋体" w:cs="宋体"/>
          <w:sz w:val="24"/>
          <w:szCs w:val="24"/>
          <w:lang w:eastAsia="zh-CN"/>
        </w:rPr>
        <w:t>，</w:t>
      </w:r>
      <w:r>
        <w:rPr>
          <w:rFonts w:hint="eastAsia" w:ascii="宋体" w:hAnsi="宋体" w:eastAsia="宋体" w:cs="宋体"/>
          <w:color w:val="000000"/>
          <w:kern w:val="0"/>
          <w:sz w:val="24"/>
          <w:szCs w:val="24"/>
          <w:lang w:val="en-US" w:eastAsia="zh-CN" w:bidi="ar"/>
          <w14:ligatures w14:val="none"/>
          <w:woUserID w:val="2"/>
        </w:rPr>
        <w:t>资产负债率大于 1 的异常样本</w:t>
      </w:r>
      <w:r>
        <w:rPr>
          <w:rFonts w:hint="eastAsia" w:ascii="宋体" w:hAnsi="宋体" w:cs="宋体"/>
          <w:color w:val="000000"/>
          <w:kern w:val="0"/>
          <w:sz w:val="24"/>
          <w:szCs w:val="24"/>
          <w:lang w:val="en-US" w:eastAsia="zh-CN" w:bidi="ar"/>
          <w14:ligatures w14:val="none"/>
          <w:woUserID w:val="2"/>
        </w:rPr>
        <w:t>；</w:t>
      </w:r>
    </w:p>
    <w:p w14:paraId="35A954D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autoSpaceDE w:val="0"/>
        <w:autoSpaceDN/>
        <w:spacing w:before="0" w:beforeAutospacing="0" w:after="0" w:afterAutospacing="0" w:line="480" w:lineRule="exact"/>
        <w:ind w:left="0" w:leftChars="0" w:right="0" w:rightChars="0" w:firstLine="420" w:firstLineChars="0"/>
        <w:jc w:val="left"/>
        <w:rPr>
          <w:rFonts w:hint="eastAsia" w:ascii="宋体" w:hAnsi="宋体" w:eastAsia="宋体" w:cs="宋体"/>
          <w:color w:val="000000"/>
          <w:kern w:val="0"/>
          <w:sz w:val="24"/>
          <w:szCs w:val="24"/>
          <w:lang w:val="en-US" w:eastAsia="zh-CN" w:bidi="ar"/>
          <w14:ligatures w14:val="none"/>
          <w:woUserID w:val="2"/>
        </w:rPr>
      </w:pPr>
      <w:r>
        <w:rPr>
          <w:rFonts w:hint="eastAsia" w:ascii="宋体" w:hAnsi="宋体" w:eastAsia="宋体" w:cs="宋体"/>
          <w:color w:val="000000"/>
          <w:kern w:val="0"/>
          <w:sz w:val="24"/>
          <w:szCs w:val="24"/>
          <w:lang w:val="en-US" w:eastAsia="zh-CN" w:bidi="ar"/>
          <w14:ligatures w14:val="none"/>
          <w:woUserID w:val="2"/>
        </w:rPr>
        <w:t>剔除</w:t>
      </w:r>
      <w:r>
        <w:rPr>
          <w:rFonts w:ascii="宋体" w:hAnsi="宋体" w:eastAsia="宋体" w:cs="宋体"/>
          <w:sz w:val="24"/>
          <w:szCs w:val="24"/>
        </w:rPr>
        <w:t>核心财务指标与年报文本严重缺失的观测值</w:t>
      </w:r>
      <w:r>
        <w:rPr>
          <w:rFonts w:hint="eastAsia" w:ascii="宋体" w:hAnsi="宋体" w:cs="宋体"/>
          <w:sz w:val="24"/>
          <w:szCs w:val="24"/>
          <w:lang w:eastAsia="zh-CN"/>
        </w:rPr>
        <w:t>。</w:t>
      </w:r>
    </w:p>
    <w:p w14:paraId="0EDB898E">
      <w:pPr>
        <w:keepNext w:val="0"/>
        <w:keepLines w:val="0"/>
        <w:widowControl/>
        <w:numPr>
          <w:numId w:val="0"/>
        </w:numPr>
        <w:suppressLineNumbers w:val="0"/>
        <w:pBdr>
          <w:top w:val="none" w:color="auto" w:sz="0" w:space="0"/>
          <w:left w:val="none" w:color="auto" w:sz="0" w:space="0"/>
          <w:bottom w:val="none" w:color="auto" w:sz="0" w:space="0"/>
          <w:right w:val="none" w:color="auto" w:sz="0" w:space="0"/>
        </w:pBdr>
        <w:autoSpaceDE w:val="0"/>
        <w:autoSpaceDN/>
        <w:spacing w:before="0" w:beforeAutospacing="0" w:after="0" w:afterAutospacing="0" w:line="480" w:lineRule="exact"/>
        <w:ind w:right="0" w:rightChars="0"/>
        <w:jc w:val="left"/>
        <w:rPr>
          <w:rFonts w:hint="eastAsia" w:ascii="宋体" w:hAnsi="宋体" w:eastAsia="宋体" w:cs="宋体"/>
          <w:color w:val="000000"/>
          <w:kern w:val="0"/>
          <w:sz w:val="24"/>
          <w:szCs w:val="24"/>
          <w:lang w:val="en-US" w:eastAsia="zh-CN" w:bidi="ar"/>
          <w14:ligatures w14:val="none"/>
          <w:woUserID w:val="2"/>
        </w:rPr>
      </w:pPr>
      <w:r>
        <w:rPr>
          <w:rFonts w:hint="eastAsia" w:ascii="宋体" w:hAnsi="宋体" w:eastAsia="宋体" w:cs="宋体"/>
          <w:color w:val="000000"/>
          <w:kern w:val="0"/>
          <w:sz w:val="24"/>
          <w:szCs w:val="24"/>
          <w:lang w:val="en-US" w:eastAsia="zh-CN" w:bidi="ar"/>
          <w14:ligatures w14:val="none"/>
          <w:woUserID w:val="2"/>
        </w:rPr>
        <w:t>最终得到 29</w:t>
      </w:r>
      <w:r>
        <w:rPr>
          <w:rFonts w:hint="eastAsia" w:ascii="宋体" w:hAnsi="宋体" w:cs="宋体"/>
          <w:color w:val="000000"/>
          <w:kern w:val="0"/>
          <w:sz w:val="24"/>
          <w:szCs w:val="24"/>
          <w:lang w:val="en-US" w:eastAsia="zh-CN" w:bidi="ar"/>
          <w14:ligatures w14:val="none"/>
          <w:woUserID w:val="2"/>
        </w:rPr>
        <w:t>621</w:t>
      </w:r>
      <w:r>
        <w:rPr>
          <w:rFonts w:hint="eastAsia" w:ascii="宋体" w:hAnsi="宋体" w:eastAsia="宋体" w:cs="宋体"/>
          <w:color w:val="000000"/>
          <w:kern w:val="0"/>
          <w:sz w:val="24"/>
          <w:szCs w:val="24"/>
          <w:lang w:val="en-US" w:eastAsia="zh-CN" w:bidi="ar"/>
          <w14:ligatures w14:val="none"/>
          <w:woUserID w:val="2"/>
        </w:rPr>
        <w:t xml:space="preserve"> 个观测值，涵盖 3</w:t>
      </w:r>
      <w:r>
        <w:rPr>
          <w:rFonts w:hint="eastAsia" w:ascii="宋体" w:hAnsi="宋体" w:cs="宋体"/>
          <w:color w:val="000000"/>
          <w:kern w:val="0"/>
          <w:sz w:val="24"/>
          <w:szCs w:val="24"/>
          <w:lang w:val="en-US" w:eastAsia="zh-CN" w:bidi="ar"/>
          <w14:ligatures w14:val="none"/>
          <w:woUserID w:val="2"/>
        </w:rPr>
        <w:t>843</w:t>
      </w:r>
      <w:r>
        <w:rPr>
          <w:rFonts w:hint="eastAsia" w:ascii="宋体" w:hAnsi="宋体" w:eastAsia="宋体" w:cs="宋体"/>
          <w:color w:val="000000"/>
          <w:kern w:val="0"/>
          <w:sz w:val="24"/>
          <w:szCs w:val="24"/>
          <w:lang w:val="en-US" w:eastAsia="zh-CN" w:bidi="ar"/>
          <w14:ligatures w14:val="none"/>
          <w:woUserID w:val="2"/>
        </w:rPr>
        <w:t xml:space="preserve"> 家制造业上市公司。</w:t>
      </w:r>
      <w:r>
        <w:rPr>
          <w:rFonts w:hint="eastAsia" w:ascii="宋体" w:hAnsi="宋体" w:cs="宋体"/>
          <w:color w:val="000000"/>
          <w:kern w:val="0"/>
          <w:sz w:val="24"/>
          <w:szCs w:val="24"/>
          <w:lang w:val="en-US" w:eastAsia="zh-CN" w:bidi="ar"/>
          <w14:ligatures w14:val="none"/>
          <w:woUserID w:val="2"/>
        </w:rPr>
        <w:t>以此</w:t>
      </w:r>
      <w:r>
        <w:rPr>
          <w:rFonts w:hint="eastAsia" w:ascii="宋体" w:hAnsi="宋体" w:eastAsia="宋体" w:cs="宋体"/>
          <w:color w:val="000000"/>
          <w:kern w:val="0"/>
          <w:sz w:val="24"/>
          <w:szCs w:val="24"/>
          <w:lang w:val="en-US" w:eastAsia="zh-CN" w:bidi="ar"/>
          <w14:ligatures w14:val="none"/>
          <w:woUserID w:val="2"/>
        </w:rPr>
        <w:t>构建 2013—2024 年制造业企业面板数据，经清洗后有效观测值与企业规模保持稳定，数据结构完整，满足后续计量建模要求。</w:t>
      </w:r>
    </w:p>
    <w:p w14:paraId="771DFDFB">
      <w:pPr>
        <w:keepNext w:val="0"/>
        <w:keepLines w:val="0"/>
        <w:widowControl/>
        <w:numPr>
          <w:numId w:val="0"/>
        </w:numPr>
        <w:suppressLineNumbers w:val="0"/>
        <w:pBdr>
          <w:top w:val="none" w:color="auto" w:sz="0" w:space="0"/>
          <w:left w:val="none" w:color="auto" w:sz="0" w:space="0"/>
          <w:bottom w:val="none" w:color="auto" w:sz="0" w:space="0"/>
          <w:right w:val="none" w:color="auto" w:sz="0" w:space="0"/>
        </w:pBdr>
        <w:autoSpaceDE w:val="0"/>
        <w:autoSpaceDN/>
        <w:spacing w:before="0" w:beforeAutospacing="0" w:after="0" w:afterAutospacing="0" w:line="480" w:lineRule="exact"/>
        <w:ind w:right="0" w:rightChars="0" w:firstLine="420" w:firstLineChars="0"/>
        <w:jc w:val="left"/>
        <w:rPr>
          <w:rFonts w:hint="default" w:ascii="方正小标宋简体" w:hAnsi="方正小标宋简体" w:eastAsia="方正小标宋简体" w:cs="方正小标宋简体"/>
          <w:kern w:val="2"/>
          <w:sz w:val="24"/>
          <w:szCs w:val="24"/>
          <w:lang w:val="en-US" w:eastAsia="zh-CN" w:bidi="ar"/>
          <w14:ligatures w14:val="none"/>
          <w:woUserID w:val="2"/>
        </w:rPr>
      </w:pPr>
      <w:r>
        <w:rPr>
          <w:rFonts w:ascii="宋体" w:hAnsi="宋体" w:eastAsia="宋体" w:cs="宋体"/>
          <w:sz w:val="24"/>
          <w:szCs w:val="24"/>
        </w:rPr>
        <w:t>为清晰刻画人工智能应用对企业提质增效的影响，本文系统界定各类变量：被解释变量为多维度合成的提质增效指数</w:t>
      </w:r>
      <w:r>
        <w:rPr>
          <w:rFonts w:hint="eastAsia" w:ascii="宋体" w:hAnsi="宋体" w:cs="宋体"/>
          <w:sz w:val="24"/>
          <w:szCs w:val="24"/>
          <w:lang w:eastAsia="zh-CN"/>
        </w:rPr>
        <w:t>；</w:t>
      </w:r>
      <w:r>
        <w:rPr>
          <w:rFonts w:ascii="宋体" w:hAnsi="宋体" w:eastAsia="宋体" w:cs="宋体"/>
          <w:sz w:val="24"/>
          <w:szCs w:val="24"/>
        </w:rPr>
        <w:t>核心解释变量为融合文本关注度与实际投资的人工智能应用指数</w:t>
      </w:r>
      <w:r>
        <w:rPr>
          <w:rFonts w:hint="eastAsia" w:ascii="宋体" w:hAnsi="宋体" w:cs="宋体"/>
          <w:sz w:val="24"/>
          <w:szCs w:val="24"/>
          <w:lang w:eastAsia="zh-CN"/>
        </w:rPr>
        <w:t>；</w:t>
      </w:r>
      <w:r>
        <w:rPr>
          <w:rFonts w:ascii="宋体" w:hAnsi="宋体" w:eastAsia="宋体" w:cs="宋体"/>
          <w:sz w:val="24"/>
          <w:szCs w:val="24"/>
        </w:rPr>
        <w:t>机制变量用于识别 AI 转化落地路径</w:t>
      </w:r>
      <w:r>
        <w:rPr>
          <w:rFonts w:hint="eastAsia" w:ascii="宋体" w:hAnsi="宋体" w:cs="宋体"/>
          <w:sz w:val="24"/>
          <w:szCs w:val="24"/>
          <w:lang w:eastAsia="zh-CN"/>
        </w:rPr>
        <w:t>；</w:t>
      </w:r>
      <w:r>
        <w:rPr>
          <w:rFonts w:ascii="宋体" w:hAnsi="宋体" w:eastAsia="宋体" w:cs="宋体"/>
          <w:sz w:val="24"/>
          <w:szCs w:val="24"/>
        </w:rPr>
        <w:t>控制变量则涵盖企业基本特征。同时，</w:t>
      </w:r>
      <w:r>
        <w:rPr>
          <w:rFonts w:hint="eastAsia" w:ascii="宋体" w:hAnsi="宋体" w:cs="宋体"/>
          <w:sz w:val="24"/>
          <w:szCs w:val="24"/>
          <w:lang w:val="en-US" w:eastAsia="zh-CN"/>
        </w:rPr>
        <w:t>模型</w:t>
      </w:r>
      <w:r>
        <w:rPr>
          <w:rFonts w:ascii="宋体" w:hAnsi="宋体" w:eastAsia="宋体" w:cs="宋体"/>
          <w:sz w:val="24"/>
          <w:szCs w:val="24"/>
        </w:rPr>
        <w:t>纳入年度与行业固定效应，以排除宏观经济波动与行业不可观测因素的干扰。各变量具体定义、符号及计算方式如表</w:t>
      </w:r>
      <w:r>
        <w:rPr>
          <w:rFonts w:hint="eastAsia" w:ascii="宋体" w:hAnsi="宋体" w:cs="宋体"/>
          <w:sz w:val="24"/>
          <w:szCs w:val="24"/>
          <w:lang w:val="en-US" w:eastAsia="zh-CN"/>
        </w:rPr>
        <w:t>1</w:t>
      </w:r>
      <w:r>
        <w:rPr>
          <w:rFonts w:ascii="宋体" w:hAnsi="宋体" w:eastAsia="宋体" w:cs="宋体"/>
          <w:sz w:val="24"/>
          <w:szCs w:val="24"/>
        </w:rPr>
        <w:t>所示。</w:t>
      </w:r>
    </w:p>
    <w:p w14:paraId="28A579BD">
      <w:pPr>
        <w:keepNext w:val="0"/>
        <w:keepLines w:val="0"/>
        <w:widowControl w:val="0"/>
        <w:suppressLineNumbers w:val="0"/>
        <w:tabs>
          <w:tab w:val="center" w:pos="4410"/>
          <w:tab w:val="left" w:pos="7652"/>
        </w:tabs>
        <w:autoSpaceDE w:val="0"/>
        <w:autoSpaceDN/>
        <w:spacing w:before="0" w:beforeAutospacing="0" w:after="0" w:afterAutospacing="0" w:line="480" w:lineRule="exact"/>
        <w:ind w:left="0" w:right="0" w:firstLine="480" w:firstLineChars="200"/>
        <w:jc w:val="center"/>
        <w:rPr>
          <w:rFonts w:hint="default" w:ascii="Calibri" w:hAnsi="Calibri" w:eastAsia="宋体" w:cs="Times New Roman"/>
          <w:color w:val="000000"/>
          <w:kern w:val="2"/>
          <w:sz w:val="24"/>
          <w:szCs w:val="24"/>
          <w:lang w:val="en-US" w:eastAsia="zh-CN" w:bidi="ar"/>
          <w14:ligatures w14:val="none"/>
          <w:woUserID w:val="2"/>
        </w:rPr>
      </w:pPr>
      <w:r>
        <w:rPr>
          <w:rFonts w:hint="eastAsia" w:ascii="宋体" w:hAnsi="宋体" w:eastAsia="宋体" w:cs="宋体"/>
          <w:color w:val="000000"/>
          <w:kern w:val="0"/>
          <w:sz w:val="24"/>
          <w:szCs w:val="24"/>
          <w:lang w:val="en-US" w:eastAsia="zh-CN" w:bidi="ar"/>
          <w14:ligatures w14:val="none"/>
          <w:woUserID w:val="2"/>
        </w:rPr>
        <w:t>表 1 数据集变量描述</w:t>
      </w:r>
    </w:p>
    <w:tbl>
      <w:tblPr>
        <w:tblW w:w="85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21"/>
        <w:gridCol w:w="1421"/>
        <w:gridCol w:w="2995"/>
        <w:gridCol w:w="2686"/>
      </w:tblGrid>
      <w:tr w14:paraId="42E68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jc w:val="center"/>
        </w:trPr>
        <w:tc>
          <w:tcPr>
            <w:tcW w:w="1421" w:type="dxa"/>
            <w:tcBorders>
              <w:top w:val="single" w:color="000000" w:sz="12" w:space="0"/>
              <w:left w:val="nil"/>
              <w:bottom w:val="single" w:color="000000" w:sz="4" w:space="0"/>
              <w:right w:val="nil"/>
              <w:tl2br w:val="nil"/>
            </w:tcBorders>
            <w:shd w:val="clear" w:color="auto" w:fill="FFFFFF"/>
            <w:tcMar>
              <w:top w:w="80" w:type="dxa"/>
              <w:left w:w="80" w:type="dxa"/>
              <w:bottom w:w="80" w:type="dxa"/>
              <w:right w:w="80" w:type="dxa"/>
            </w:tcMar>
            <w:vAlign w:val="center"/>
          </w:tcPr>
          <w:p w14:paraId="0CEEE51E">
            <w:pPr>
              <w:keepNext w:val="0"/>
              <w:keepLines w:val="0"/>
              <w:widowControl/>
              <w:suppressLineNumbers w:val="0"/>
              <w:spacing w:line="240" w:lineRule="auto"/>
              <w:jc w:val="left"/>
              <w:rPr>
                <w:rFonts w:hint="eastAsia" w:ascii="宋体" w:hAnsi="宋体" w:eastAsia="宋体" w:cs="宋体"/>
                <w:b w:val="0"/>
                <w:bCs/>
                <w:color w:val="000000"/>
                <w:sz w:val="21"/>
                <w:szCs w:val="21"/>
              </w:rPr>
            </w:pPr>
            <w:r>
              <w:rPr>
                <w:rFonts w:hint="eastAsia" w:ascii="宋体" w:hAnsi="宋体" w:eastAsia="宋体" w:cs="宋体"/>
                <w:b w:val="0"/>
                <w:bCs/>
                <w:color w:val="000000"/>
                <w:kern w:val="0"/>
                <w:sz w:val="21"/>
                <w:szCs w:val="21"/>
                <w:lang w:val="en-US" w:eastAsia="zh-CN" w:bidi="ar"/>
                <w14:ligatures w14:val="none"/>
              </w:rPr>
              <w:t>变量类型</w:t>
            </w:r>
          </w:p>
        </w:tc>
        <w:tc>
          <w:tcPr>
            <w:tcW w:w="1421"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4176A72F">
            <w:pPr>
              <w:keepNext w:val="0"/>
              <w:keepLines w:val="0"/>
              <w:widowControl/>
              <w:suppressLineNumbers w:val="0"/>
              <w:spacing w:line="240" w:lineRule="auto"/>
              <w:jc w:val="left"/>
              <w:rPr>
                <w:rFonts w:hint="eastAsia" w:ascii="宋体" w:hAnsi="宋体" w:eastAsia="宋体" w:cs="宋体"/>
                <w:b w:val="0"/>
                <w:bCs/>
                <w:color w:val="000000"/>
                <w:sz w:val="21"/>
                <w:szCs w:val="21"/>
              </w:rPr>
            </w:pPr>
            <w:r>
              <w:rPr>
                <w:rFonts w:hint="eastAsia" w:ascii="宋体" w:hAnsi="宋体" w:eastAsia="宋体" w:cs="宋体"/>
                <w:b w:val="0"/>
                <w:bCs/>
                <w:color w:val="000000"/>
                <w:kern w:val="0"/>
                <w:sz w:val="21"/>
                <w:szCs w:val="21"/>
                <w:lang w:val="en-US" w:eastAsia="zh-CN" w:bidi="ar"/>
                <w14:ligatures w14:val="none"/>
              </w:rPr>
              <w:t>变量名称</w:t>
            </w:r>
          </w:p>
        </w:tc>
        <w:tc>
          <w:tcPr>
            <w:tcW w:w="2995"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494F9505">
            <w:pPr>
              <w:keepNext w:val="0"/>
              <w:keepLines w:val="0"/>
              <w:widowControl/>
              <w:suppressLineNumbers w:val="0"/>
              <w:spacing w:line="240" w:lineRule="auto"/>
              <w:jc w:val="left"/>
              <w:rPr>
                <w:rFonts w:hint="eastAsia" w:ascii="宋体" w:hAnsi="宋体" w:eastAsia="宋体" w:cs="宋体"/>
                <w:b w:val="0"/>
                <w:bCs/>
                <w:color w:val="000000"/>
                <w:sz w:val="21"/>
                <w:szCs w:val="21"/>
              </w:rPr>
            </w:pPr>
            <w:r>
              <w:rPr>
                <w:rFonts w:hint="eastAsia" w:ascii="宋体" w:hAnsi="宋体" w:eastAsia="宋体" w:cs="宋体"/>
                <w:b w:val="0"/>
                <w:bCs/>
                <w:color w:val="000000"/>
                <w:kern w:val="0"/>
                <w:sz w:val="21"/>
                <w:szCs w:val="21"/>
                <w:lang w:val="en-US" w:eastAsia="zh-CN" w:bidi="ar"/>
                <w14:ligatures w14:val="none"/>
              </w:rPr>
              <w:t>变量符号</w:t>
            </w:r>
          </w:p>
        </w:tc>
        <w:tc>
          <w:tcPr>
            <w:tcW w:w="2686"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2ACF417F">
            <w:pPr>
              <w:keepNext w:val="0"/>
              <w:keepLines w:val="0"/>
              <w:widowControl/>
              <w:suppressLineNumbers w:val="0"/>
              <w:spacing w:line="240" w:lineRule="auto"/>
              <w:jc w:val="left"/>
              <w:rPr>
                <w:rFonts w:hint="eastAsia" w:ascii="宋体" w:hAnsi="宋体" w:eastAsia="宋体" w:cs="宋体"/>
                <w:b w:val="0"/>
                <w:bCs/>
                <w:color w:val="000000"/>
                <w:sz w:val="21"/>
                <w:szCs w:val="21"/>
              </w:rPr>
            </w:pPr>
            <w:r>
              <w:rPr>
                <w:rFonts w:hint="eastAsia" w:ascii="宋体" w:hAnsi="宋体" w:eastAsia="宋体" w:cs="宋体"/>
                <w:b w:val="0"/>
                <w:bCs/>
                <w:color w:val="000000"/>
                <w:kern w:val="0"/>
                <w:sz w:val="21"/>
                <w:szCs w:val="21"/>
                <w:lang w:val="en-US" w:eastAsia="zh-CN" w:bidi="ar"/>
                <w14:ligatures w14:val="none"/>
              </w:rPr>
              <w:t>计算方式与说明</w:t>
            </w:r>
          </w:p>
        </w:tc>
      </w:tr>
      <w:tr w14:paraId="49759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36" w:hRule="atLeast"/>
          <w:jc w:val="center"/>
        </w:trPr>
        <w:tc>
          <w:tcPr>
            <w:tcW w:w="1421"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52610555">
            <w:pPr>
              <w:keepNext w:val="0"/>
              <w:keepLines w:val="0"/>
              <w:widowControl/>
              <w:suppressLineNumbers w:val="0"/>
              <w:spacing w:line="240" w:lineRule="auto"/>
              <w:jc w:val="left"/>
              <w:rPr>
                <w:rFonts w:hint="eastAsia" w:ascii="宋体" w:hAnsi="宋体" w:eastAsia="宋体" w:cs="宋体"/>
                <w:b w:val="0"/>
                <w:color w:val="000000"/>
                <w:sz w:val="21"/>
                <w:szCs w:val="21"/>
              </w:rPr>
            </w:pPr>
            <w:r>
              <w:rPr>
                <w:rStyle w:val="23"/>
                <w:rFonts w:hint="eastAsia" w:ascii="宋体" w:hAnsi="宋体" w:eastAsia="宋体" w:cs="宋体"/>
                <w:b w:val="0"/>
                <w:color w:val="000000"/>
                <w:kern w:val="0"/>
                <w:sz w:val="21"/>
                <w:szCs w:val="21"/>
                <w:lang w:val="en-US" w:eastAsia="zh-CN" w:bidi="ar"/>
                <w14:ligatures w14:val="none"/>
              </w:rPr>
              <w:t>被解释变量</w:t>
            </w:r>
          </w:p>
        </w:tc>
        <w:tc>
          <w:tcPr>
            <w:tcW w:w="1421"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302E547F">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提质增效指数</w:t>
            </w:r>
          </w:p>
        </w:tc>
        <w:tc>
          <w:tcPr>
            <w:tcW w:w="2995"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4AD0B068">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quality_efficiency_index</w:t>
            </w:r>
          </w:p>
        </w:tc>
        <w:tc>
          <w:tcPr>
            <w:tcW w:w="2686"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6CF4D0DE">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由质量子指数与效率子指数标准化后等权合成</w:t>
            </w:r>
          </w:p>
        </w:tc>
      </w:tr>
      <w:tr w14:paraId="105A5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21" w:type="dxa"/>
            <w:tcBorders>
              <w:top w:val="nil"/>
              <w:left w:val="nil"/>
              <w:bottom w:val="nil"/>
              <w:right w:val="nil"/>
            </w:tcBorders>
            <w:shd w:val="clear" w:color="auto" w:fill="FFFFFF"/>
            <w:tcMar>
              <w:top w:w="80" w:type="dxa"/>
              <w:left w:w="80" w:type="dxa"/>
              <w:bottom w:w="80" w:type="dxa"/>
              <w:right w:w="80" w:type="dxa"/>
            </w:tcMar>
            <w:vAlign w:val="center"/>
          </w:tcPr>
          <w:p w14:paraId="73CF5821">
            <w:pPr>
              <w:spacing w:line="240" w:lineRule="auto"/>
              <w:jc w:val="left"/>
              <w:rPr>
                <w:rFonts w:hint="eastAsia" w:ascii="宋体" w:hAnsi="宋体" w:eastAsia="宋体" w:cs="宋体"/>
                <w:b w:val="0"/>
                <w:color w:val="000000"/>
                <w:sz w:val="21"/>
                <w:szCs w:val="21"/>
              </w:rPr>
            </w:pPr>
          </w:p>
        </w:tc>
        <w:tc>
          <w:tcPr>
            <w:tcW w:w="1421" w:type="dxa"/>
            <w:tcBorders>
              <w:top w:val="nil"/>
              <w:left w:val="nil"/>
              <w:bottom w:val="nil"/>
              <w:right w:val="nil"/>
            </w:tcBorders>
            <w:shd w:val="clear" w:color="auto" w:fill="FFFFFF"/>
            <w:tcMar>
              <w:top w:w="80" w:type="dxa"/>
              <w:left w:w="80" w:type="dxa"/>
              <w:bottom w:w="80" w:type="dxa"/>
              <w:right w:w="80" w:type="dxa"/>
            </w:tcMar>
            <w:vAlign w:val="center"/>
          </w:tcPr>
          <w:p w14:paraId="5CA5EB15">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熵权提质增效指数</w:t>
            </w:r>
          </w:p>
        </w:tc>
        <w:tc>
          <w:tcPr>
            <w:tcW w:w="2995" w:type="dxa"/>
            <w:tcBorders>
              <w:top w:val="nil"/>
              <w:left w:val="nil"/>
              <w:bottom w:val="nil"/>
              <w:right w:val="nil"/>
            </w:tcBorders>
            <w:shd w:val="clear" w:color="auto" w:fill="FFFFFF"/>
            <w:tcMar>
              <w:top w:w="80" w:type="dxa"/>
              <w:left w:w="80" w:type="dxa"/>
              <w:bottom w:w="80" w:type="dxa"/>
              <w:right w:w="80" w:type="dxa"/>
            </w:tcMar>
            <w:vAlign w:val="center"/>
          </w:tcPr>
          <w:p w14:paraId="70728F39">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quality_efficiency_entropy</w:t>
            </w:r>
          </w:p>
        </w:tc>
        <w:tc>
          <w:tcPr>
            <w:tcW w:w="2686" w:type="dxa"/>
            <w:tcBorders>
              <w:top w:val="nil"/>
              <w:left w:val="nil"/>
              <w:bottom w:val="nil"/>
              <w:right w:val="nil"/>
            </w:tcBorders>
            <w:shd w:val="clear" w:color="auto" w:fill="FFFFFF"/>
            <w:tcMar>
              <w:top w:w="80" w:type="dxa"/>
              <w:left w:w="80" w:type="dxa"/>
              <w:bottom w:w="80" w:type="dxa"/>
              <w:right w:w="80" w:type="dxa"/>
            </w:tcMar>
            <w:vAlign w:val="center"/>
          </w:tcPr>
          <w:p w14:paraId="17A3314B">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五项基础指标经极差标准化后由熵权法加权合成</w:t>
            </w:r>
          </w:p>
        </w:tc>
      </w:tr>
      <w:tr w14:paraId="37BEB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421" w:type="dxa"/>
            <w:tcBorders>
              <w:top w:val="nil"/>
              <w:left w:val="nil"/>
              <w:bottom w:val="nil"/>
              <w:right w:val="nil"/>
            </w:tcBorders>
            <w:shd w:val="clear" w:color="auto" w:fill="FFFFFF"/>
            <w:tcMar>
              <w:top w:w="80" w:type="dxa"/>
              <w:left w:w="80" w:type="dxa"/>
              <w:bottom w:w="80" w:type="dxa"/>
              <w:right w:w="80" w:type="dxa"/>
            </w:tcMar>
            <w:vAlign w:val="center"/>
          </w:tcPr>
          <w:p w14:paraId="0DD36976">
            <w:pPr>
              <w:spacing w:line="240" w:lineRule="auto"/>
              <w:jc w:val="left"/>
              <w:rPr>
                <w:rFonts w:hint="eastAsia" w:ascii="宋体" w:hAnsi="宋体" w:eastAsia="宋体" w:cs="宋体"/>
                <w:b w:val="0"/>
                <w:color w:val="000000"/>
                <w:sz w:val="21"/>
                <w:szCs w:val="21"/>
              </w:rPr>
            </w:pPr>
          </w:p>
        </w:tc>
        <w:tc>
          <w:tcPr>
            <w:tcW w:w="1421" w:type="dxa"/>
            <w:tcBorders>
              <w:top w:val="nil"/>
              <w:left w:val="nil"/>
              <w:bottom w:val="nil"/>
              <w:right w:val="nil"/>
            </w:tcBorders>
            <w:shd w:val="clear" w:color="auto" w:fill="FFFFFF"/>
            <w:tcMar>
              <w:top w:w="80" w:type="dxa"/>
              <w:left w:w="80" w:type="dxa"/>
              <w:bottom w:w="80" w:type="dxa"/>
              <w:right w:w="80" w:type="dxa"/>
            </w:tcMar>
            <w:vAlign w:val="center"/>
          </w:tcPr>
          <w:p w14:paraId="58C2C509">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主成分提质增效指数</w:t>
            </w:r>
          </w:p>
        </w:tc>
        <w:tc>
          <w:tcPr>
            <w:tcW w:w="2995" w:type="dxa"/>
            <w:tcBorders>
              <w:top w:val="nil"/>
              <w:left w:val="nil"/>
              <w:bottom w:val="nil"/>
              <w:right w:val="nil"/>
            </w:tcBorders>
            <w:shd w:val="clear" w:color="auto" w:fill="FFFFFF"/>
            <w:tcMar>
              <w:top w:w="80" w:type="dxa"/>
              <w:left w:w="80" w:type="dxa"/>
              <w:bottom w:w="80" w:type="dxa"/>
              <w:right w:w="80" w:type="dxa"/>
            </w:tcMar>
            <w:vAlign w:val="center"/>
          </w:tcPr>
          <w:p w14:paraId="2A40DB6D">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quality_efficiency_pca</w:t>
            </w:r>
          </w:p>
        </w:tc>
        <w:tc>
          <w:tcPr>
            <w:tcW w:w="2686" w:type="dxa"/>
            <w:tcBorders>
              <w:top w:val="nil"/>
              <w:left w:val="nil"/>
              <w:bottom w:val="nil"/>
              <w:right w:val="nil"/>
            </w:tcBorders>
            <w:shd w:val="clear" w:color="auto" w:fill="FFFFFF"/>
            <w:tcMar>
              <w:top w:w="80" w:type="dxa"/>
              <w:left w:w="80" w:type="dxa"/>
              <w:bottom w:w="80" w:type="dxa"/>
              <w:right w:w="80" w:type="dxa"/>
            </w:tcMar>
            <w:vAlign w:val="center"/>
          </w:tcPr>
          <w:p w14:paraId="6F4244A3">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五项基础指标标准化后提取第一主成分合成</w:t>
            </w:r>
          </w:p>
        </w:tc>
      </w:tr>
      <w:tr w14:paraId="3A152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421" w:type="dxa"/>
            <w:tcBorders>
              <w:top w:val="nil"/>
              <w:left w:val="nil"/>
              <w:bottom w:val="nil"/>
              <w:right w:val="nil"/>
            </w:tcBorders>
            <w:shd w:val="clear" w:color="auto" w:fill="FFFFFF"/>
            <w:tcMar>
              <w:top w:w="80" w:type="dxa"/>
              <w:left w:w="80" w:type="dxa"/>
              <w:bottom w:w="80" w:type="dxa"/>
              <w:right w:w="80" w:type="dxa"/>
            </w:tcMar>
            <w:vAlign w:val="center"/>
          </w:tcPr>
          <w:p w14:paraId="546E1BE1">
            <w:pPr>
              <w:spacing w:line="240" w:lineRule="auto"/>
              <w:jc w:val="left"/>
              <w:rPr>
                <w:rFonts w:hint="eastAsia" w:ascii="宋体" w:hAnsi="宋体" w:eastAsia="宋体" w:cs="宋体"/>
                <w:b w:val="0"/>
                <w:color w:val="000000"/>
                <w:sz w:val="21"/>
                <w:szCs w:val="21"/>
              </w:rPr>
            </w:pPr>
          </w:p>
        </w:tc>
        <w:tc>
          <w:tcPr>
            <w:tcW w:w="1421" w:type="dxa"/>
            <w:tcBorders>
              <w:top w:val="nil"/>
              <w:left w:val="nil"/>
              <w:bottom w:val="nil"/>
              <w:right w:val="nil"/>
            </w:tcBorders>
            <w:shd w:val="clear" w:color="auto" w:fill="FFFFFF"/>
            <w:tcMar>
              <w:top w:w="80" w:type="dxa"/>
              <w:left w:w="80" w:type="dxa"/>
              <w:bottom w:w="80" w:type="dxa"/>
              <w:right w:w="80" w:type="dxa"/>
            </w:tcMar>
            <w:vAlign w:val="center"/>
          </w:tcPr>
          <w:p w14:paraId="1ECCB5BC">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质量子指数</w:t>
            </w:r>
          </w:p>
        </w:tc>
        <w:tc>
          <w:tcPr>
            <w:tcW w:w="2995" w:type="dxa"/>
            <w:tcBorders>
              <w:top w:val="nil"/>
              <w:left w:val="nil"/>
              <w:bottom w:val="nil"/>
              <w:right w:val="nil"/>
            </w:tcBorders>
            <w:shd w:val="clear" w:color="auto" w:fill="FFFFFF"/>
            <w:tcMar>
              <w:top w:w="80" w:type="dxa"/>
              <w:left w:w="80" w:type="dxa"/>
              <w:bottom w:w="80" w:type="dxa"/>
              <w:right w:w="80" w:type="dxa"/>
            </w:tcMar>
            <w:vAlign w:val="center"/>
          </w:tcPr>
          <w:p w14:paraId="0D11C8C2">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quality_subindex</w:t>
            </w:r>
          </w:p>
        </w:tc>
        <w:tc>
          <w:tcPr>
            <w:tcW w:w="2686" w:type="dxa"/>
            <w:tcBorders>
              <w:top w:val="nil"/>
              <w:left w:val="nil"/>
              <w:bottom w:val="nil"/>
              <w:right w:val="nil"/>
            </w:tcBorders>
            <w:shd w:val="clear" w:color="auto" w:fill="FFFFFF"/>
            <w:tcMar>
              <w:top w:w="80" w:type="dxa"/>
              <w:left w:w="80" w:type="dxa"/>
              <w:bottom w:w="80" w:type="dxa"/>
              <w:right w:w="80" w:type="dxa"/>
            </w:tcMar>
            <w:vAlign w:val="center"/>
          </w:tcPr>
          <w:p w14:paraId="16A1BE8C">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由 ROA、营业利润率、TFP 标准化后合成</w:t>
            </w:r>
          </w:p>
        </w:tc>
      </w:tr>
      <w:tr w14:paraId="73756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421" w:type="dxa"/>
            <w:tcBorders>
              <w:top w:val="nil"/>
              <w:left w:val="nil"/>
              <w:bottom w:val="nil"/>
              <w:right w:val="nil"/>
            </w:tcBorders>
            <w:shd w:val="clear" w:color="auto" w:fill="FFFFFF"/>
            <w:tcMar>
              <w:top w:w="80" w:type="dxa"/>
              <w:left w:w="80" w:type="dxa"/>
              <w:bottom w:w="80" w:type="dxa"/>
              <w:right w:w="80" w:type="dxa"/>
            </w:tcMar>
            <w:vAlign w:val="center"/>
          </w:tcPr>
          <w:p w14:paraId="797B380B">
            <w:pPr>
              <w:spacing w:line="240" w:lineRule="auto"/>
              <w:jc w:val="left"/>
              <w:rPr>
                <w:rFonts w:hint="eastAsia" w:ascii="宋体" w:hAnsi="宋体" w:eastAsia="宋体" w:cs="宋体"/>
                <w:b w:val="0"/>
                <w:color w:val="000000"/>
                <w:sz w:val="21"/>
                <w:szCs w:val="21"/>
              </w:rPr>
            </w:pPr>
          </w:p>
        </w:tc>
        <w:tc>
          <w:tcPr>
            <w:tcW w:w="1421" w:type="dxa"/>
            <w:tcBorders>
              <w:top w:val="nil"/>
              <w:left w:val="nil"/>
              <w:bottom w:val="nil"/>
              <w:right w:val="nil"/>
            </w:tcBorders>
            <w:shd w:val="clear" w:color="auto" w:fill="FFFFFF"/>
            <w:tcMar>
              <w:top w:w="80" w:type="dxa"/>
              <w:left w:w="80" w:type="dxa"/>
              <w:bottom w:w="80" w:type="dxa"/>
              <w:right w:w="80" w:type="dxa"/>
            </w:tcMar>
            <w:vAlign w:val="center"/>
          </w:tcPr>
          <w:p w14:paraId="008A243C">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效率子指数</w:t>
            </w:r>
          </w:p>
        </w:tc>
        <w:tc>
          <w:tcPr>
            <w:tcW w:w="2995" w:type="dxa"/>
            <w:tcBorders>
              <w:top w:val="nil"/>
              <w:left w:val="nil"/>
              <w:bottom w:val="nil"/>
              <w:right w:val="nil"/>
            </w:tcBorders>
            <w:shd w:val="clear" w:color="auto" w:fill="FFFFFF"/>
            <w:tcMar>
              <w:top w:w="80" w:type="dxa"/>
              <w:left w:w="80" w:type="dxa"/>
              <w:bottom w:w="80" w:type="dxa"/>
              <w:right w:w="80" w:type="dxa"/>
            </w:tcMar>
            <w:vAlign w:val="center"/>
          </w:tcPr>
          <w:p w14:paraId="7665C832">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efficiency_subindex</w:t>
            </w:r>
          </w:p>
        </w:tc>
        <w:tc>
          <w:tcPr>
            <w:tcW w:w="2686" w:type="dxa"/>
            <w:tcBorders>
              <w:top w:val="nil"/>
              <w:left w:val="nil"/>
              <w:bottom w:val="nil"/>
              <w:right w:val="nil"/>
            </w:tcBorders>
            <w:shd w:val="clear" w:color="auto" w:fill="FFFFFF"/>
            <w:tcMar>
              <w:top w:w="80" w:type="dxa"/>
              <w:left w:w="80" w:type="dxa"/>
              <w:bottom w:w="80" w:type="dxa"/>
              <w:right w:w="80" w:type="dxa"/>
            </w:tcMar>
            <w:vAlign w:val="center"/>
          </w:tcPr>
          <w:p w14:paraId="1771FA8D">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由总资产周转率、劳动生产率标准化后合成</w:t>
            </w:r>
          </w:p>
        </w:tc>
      </w:tr>
      <w:tr w14:paraId="168EB2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21" w:type="dxa"/>
            <w:tcBorders>
              <w:top w:val="nil"/>
              <w:left w:val="nil"/>
              <w:bottom w:val="nil"/>
              <w:right w:val="nil"/>
            </w:tcBorders>
            <w:shd w:val="clear" w:color="auto" w:fill="FFFFFF"/>
            <w:tcMar>
              <w:top w:w="80" w:type="dxa"/>
              <w:left w:w="80" w:type="dxa"/>
              <w:bottom w:w="80" w:type="dxa"/>
              <w:right w:w="80" w:type="dxa"/>
            </w:tcMar>
            <w:vAlign w:val="center"/>
          </w:tcPr>
          <w:p w14:paraId="0B092104">
            <w:pPr>
              <w:spacing w:line="240" w:lineRule="auto"/>
              <w:jc w:val="left"/>
              <w:rPr>
                <w:rFonts w:hint="eastAsia" w:ascii="宋体" w:hAnsi="宋体" w:eastAsia="宋体" w:cs="宋体"/>
                <w:b w:val="0"/>
                <w:color w:val="000000"/>
                <w:sz w:val="21"/>
                <w:szCs w:val="21"/>
              </w:rPr>
            </w:pPr>
          </w:p>
        </w:tc>
        <w:tc>
          <w:tcPr>
            <w:tcW w:w="1421" w:type="dxa"/>
            <w:tcBorders>
              <w:top w:val="nil"/>
              <w:left w:val="nil"/>
              <w:bottom w:val="nil"/>
              <w:right w:val="nil"/>
            </w:tcBorders>
            <w:shd w:val="clear" w:color="auto" w:fill="FFFFFF"/>
            <w:tcMar>
              <w:top w:w="80" w:type="dxa"/>
              <w:left w:w="80" w:type="dxa"/>
              <w:bottom w:w="80" w:type="dxa"/>
              <w:right w:w="80" w:type="dxa"/>
            </w:tcMar>
            <w:vAlign w:val="center"/>
          </w:tcPr>
          <w:p w14:paraId="660C49E1">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全要素生产率</w:t>
            </w:r>
          </w:p>
        </w:tc>
        <w:tc>
          <w:tcPr>
            <w:tcW w:w="2995" w:type="dxa"/>
            <w:tcBorders>
              <w:top w:val="nil"/>
              <w:left w:val="nil"/>
              <w:bottom w:val="nil"/>
              <w:right w:val="nil"/>
            </w:tcBorders>
            <w:shd w:val="clear" w:color="auto" w:fill="FFFFFF"/>
            <w:tcMar>
              <w:top w:w="80" w:type="dxa"/>
              <w:left w:w="80" w:type="dxa"/>
              <w:bottom w:w="80" w:type="dxa"/>
              <w:right w:w="80" w:type="dxa"/>
            </w:tcMar>
            <w:vAlign w:val="center"/>
          </w:tcPr>
          <w:p w14:paraId="154C7F78">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tfp</w:t>
            </w:r>
          </w:p>
        </w:tc>
        <w:tc>
          <w:tcPr>
            <w:tcW w:w="2686" w:type="dxa"/>
            <w:tcBorders>
              <w:top w:val="nil"/>
              <w:left w:val="nil"/>
              <w:bottom w:val="nil"/>
              <w:right w:val="nil"/>
            </w:tcBorders>
            <w:shd w:val="clear" w:color="auto" w:fill="FFFFFF"/>
            <w:tcMar>
              <w:top w:w="80" w:type="dxa"/>
              <w:left w:w="80" w:type="dxa"/>
              <w:bottom w:w="80" w:type="dxa"/>
              <w:right w:w="80" w:type="dxa"/>
            </w:tcMar>
            <w:vAlign w:val="center"/>
          </w:tcPr>
          <w:p w14:paraId="1A8C6650">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以中间投入为代理变量，采用控制函数法测算</w:t>
            </w:r>
          </w:p>
        </w:tc>
      </w:tr>
      <w:tr w14:paraId="65F9C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421" w:type="dxa"/>
            <w:tcBorders>
              <w:top w:val="nil"/>
              <w:left w:val="nil"/>
              <w:bottom w:val="nil"/>
              <w:right w:val="nil"/>
            </w:tcBorders>
            <w:shd w:val="clear" w:color="auto" w:fill="FFFFFF"/>
            <w:tcMar>
              <w:top w:w="80" w:type="dxa"/>
              <w:left w:w="80" w:type="dxa"/>
              <w:bottom w:w="80" w:type="dxa"/>
              <w:right w:w="80" w:type="dxa"/>
            </w:tcMar>
            <w:vAlign w:val="center"/>
          </w:tcPr>
          <w:p w14:paraId="64853FAC">
            <w:pPr>
              <w:keepNext w:val="0"/>
              <w:keepLines w:val="0"/>
              <w:widowControl/>
              <w:suppressLineNumbers w:val="0"/>
              <w:spacing w:line="240" w:lineRule="auto"/>
              <w:jc w:val="left"/>
              <w:rPr>
                <w:rFonts w:hint="eastAsia" w:ascii="宋体" w:hAnsi="宋体" w:eastAsia="宋体" w:cs="宋体"/>
                <w:b w:val="0"/>
                <w:color w:val="000000"/>
                <w:sz w:val="21"/>
                <w:szCs w:val="21"/>
              </w:rPr>
            </w:pPr>
            <w:r>
              <w:rPr>
                <w:rStyle w:val="23"/>
                <w:rFonts w:hint="eastAsia" w:ascii="宋体" w:hAnsi="宋体" w:eastAsia="宋体" w:cs="宋体"/>
                <w:b w:val="0"/>
                <w:color w:val="000000"/>
                <w:kern w:val="0"/>
                <w:sz w:val="21"/>
                <w:szCs w:val="21"/>
                <w:lang w:val="en-US" w:eastAsia="zh-CN" w:bidi="ar"/>
                <w14:ligatures w14:val="none"/>
              </w:rPr>
              <w:t>核心解释变量</w:t>
            </w:r>
          </w:p>
        </w:tc>
        <w:tc>
          <w:tcPr>
            <w:tcW w:w="1421" w:type="dxa"/>
            <w:tcBorders>
              <w:top w:val="nil"/>
              <w:left w:val="nil"/>
              <w:bottom w:val="nil"/>
              <w:right w:val="nil"/>
            </w:tcBorders>
            <w:shd w:val="clear" w:color="auto" w:fill="FFFFFF"/>
            <w:tcMar>
              <w:top w:w="80" w:type="dxa"/>
              <w:left w:w="80" w:type="dxa"/>
              <w:bottom w:w="80" w:type="dxa"/>
              <w:right w:w="80" w:type="dxa"/>
            </w:tcMar>
            <w:vAlign w:val="center"/>
          </w:tcPr>
          <w:p w14:paraId="6C456842">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人工智能应用指数</w:t>
            </w:r>
          </w:p>
        </w:tc>
        <w:tc>
          <w:tcPr>
            <w:tcW w:w="2995" w:type="dxa"/>
            <w:tcBorders>
              <w:top w:val="nil"/>
              <w:left w:val="nil"/>
              <w:bottom w:val="nil"/>
              <w:right w:val="nil"/>
            </w:tcBorders>
            <w:shd w:val="clear" w:color="auto" w:fill="FFFFFF"/>
            <w:tcMar>
              <w:top w:w="80" w:type="dxa"/>
              <w:left w:w="80" w:type="dxa"/>
              <w:bottom w:w="80" w:type="dxa"/>
              <w:right w:w="80" w:type="dxa"/>
            </w:tcMar>
            <w:vAlign w:val="center"/>
          </w:tcPr>
          <w:p w14:paraId="75797720">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ai_application_index</w:t>
            </w:r>
          </w:p>
        </w:tc>
        <w:tc>
          <w:tcPr>
            <w:tcW w:w="2686" w:type="dxa"/>
            <w:tcBorders>
              <w:top w:val="nil"/>
              <w:left w:val="nil"/>
              <w:bottom w:val="nil"/>
              <w:right w:val="nil"/>
            </w:tcBorders>
            <w:shd w:val="clear" w:color="auto" w:fill="FFFFFF"/>
            <w:tcMar>
              <w:top w:w="80" w:type="dxa"/>
              <w:left w:w="80" w:type="dxa"/>
              <w:bottom w:w="80" w:type="dxa"/>
              <w:right w:w="80" w:type="dxa"/>
            </w:tcMar>
            <w:vAlign w:val="center"/>
          </w:tcPr>
          <w:p w14:paraId="6622F0E8">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AI 词频、词频占比、AI 投资及投资水平标准化等权合成</w:t>
            </w:r>
          </w:p>
        </w:tc>
      </w:tr>
      <w:tr w14:paraId="012DD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421" w:type="dxa"/>
            <w:tcBorders>
              <w:top w:val="nil"/>
              <w:left w:val="nil"/>
              <w:bottom w:val="nil"/>
              <w:right w:val="nil"/>
            </w:tcBorders>
            <w:shd w:val="clear" w:color="auto" w:fill="FFFFFF"/>
            <w:tcMar>
              <w:top w:w="80" w:type="dxa"/>
              <w:left w:w="80" w:type="dxa"/>
              <w:bottom w:w="80" w:type="dxa"/>
              <w:right w:w="80" w:type="dxa"/>
            </w:tcMar>
            <w:vAlign w:val="center"/>
          </w:tcPr>
          <w:p w14:paraId="2D94FC28">
            <w:pPr>
              <w:keepNext w:val="0"/>
              <w:keepLines w:val="0"/>
              <w:widowControl/>
              <w:suppressLineNumbers w:val="0"/>
              <w:spacing w:line="240" w:lineRule="auto"/>
              <w:jc w:val="left"/>
              <w:rPr>
                <w:rFonts w:hint="eastAsia" w:ascii="宋体" w:hAnsi="宋体" w:eastAsia="宋体" w:cs="宋体"/>
                <w:b w:val="0"/>
                <w:color w:val="000000"/>
                <w:sz w:val="21"/>
                <w:szCs w:val="21"/>
              </w:rPr>
            </w:pPr>
            <w:r>
              <w:rPr>
                <w:rStyle w:val="23"/>
                <w:rFonts w:hint="eastAsia" w:ascii="宋体" w:hAnsi="宋体" w:eastAsia="宋体" w:cs="宋体"/>
                <w:b w:val="0"/>
                <w:color w:val="000000"/>
                <w:kern w:val="0"/>
                <w:sz w:val="21"/>
                <w:szCs w:val="21"/>
                <w:lang w:val="en-US" w:eastAsia="zh-CN" w:bidi="ar"/>
                <w14:ligatures w14:val="none"/>
              </w:rPr>
              <w:t>机制变量</w:t>
            </w:r>
          </w:p>
        </w:tc>
        <w:tc>
          <w:tcPr>
            <w:tcW w:w="1421" w:type="dxa"/>
            <w:tcBorders>
              <w:top w:val="nil"/>
              <w:left w:val="nil"/>
              <w:bottom w:val="nil"/>
              <w:right w:val="nil"/>
            </w:tcBorders>
            <w:shd w:val="clear" w:color="auto" w:fill="FFFFFF"/>
            <w:tcMar>
              <w:top w:w="80" w:type="dxa"/>
              <w:left w:w="80" w:type="dxa"/>
              <w:bottom w:w="80" w:type="dxa"/>
              <w:right w:w="80" w:type="dxa"/>
            </w:tcMar>
            <w:vAlign w:val="center"/>
          </w:tcPr>
          <w:p w14:paraId="7F96F79E">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实际 AI 应用指数</w:t>
            </w:r>
          </w:p>
        </w:tc>
        <w:tc>
          <w:tcPr>
            <w:tcW w:w="2995" w:type="dxa"/>
            <w:tcBorders>
              <w:top w:val="nil"/>
              <w:left w:val="nil"/>
              <w:bottom w:val="nil"/>
              <w:right w:val="nil"/>
            </w:tcBorders>
            <w:shd w:val="clear" w:color="auto" w:fill="FFFFFF"/>
            <w:tcMar>
              <w:top w:w="80" w:type="dxa"/>
              <w:left w:w="80" w:type="dxa"/>
              <w:bottom w:w="80" w:type="dxa"/>
              <w:right w:w="80" w:type="dxa"/>
            </w:tcMar>
            <w:vAlign w:val="center"/>
          </w:tcPr>
          <w:p w14:paraId="61EDB0F8">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ai_actual_application_index</w:t>
            </w:r>
          </w:p>
        </w:tc>
        <w:tc>
          <w:tcPr>
            <w:tcW w:w="2686" w:type="dxa"/>
            <w:tcBorders>
              <w:top w:val="nil"/>
              <w:left w:val="nil"/>
              <w:bottom w:val="nil"/>
              <w:right w:val="nil"/>
            </w:tcBorders>
            <w:shd w:val="clear" w:color="auto" w:fill="FFFFFF"/>
            <w:tcMar>
              <w:top w:w="80" w:type="dxa"/>
              <w:left w:w="80" w:type="dxa"/>
              <w:bottom w:w="80" w:type="dxa"/>
              <w:right w:w="80" w:type="dxa"/>
            </w:tcMar>
            <w:vAlign w:val="center"/>
          </w:tcPr>
          <w:p w14:paraId="5DEABBDA">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仅由 AI 投资总额、增加值与投资水平构造，不含词频信息</w:t>
            </w:r>
          </w:p>
        </w:tc>
      </w:tr>
      <w:tr w14:paraId="2AC0A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421" w:type="dxa"/>
            <w:tcBorders>
              <w:top w:val="nil"/>
              <w:left w:val="nil"/>
              <w:bottom w:val="nil"/>
              <w:right w:val="nil"/>
            </w:tcBorders>
            <w:shd w:val="clear" w:color="auto" w:fill="FFFFFF"/>
            <w:tcMar>
              <w:top w:w="80" w:type="dxa"/>
              <w:left w:w="80" w:type="dxa"/>
              <w:bottom w:w="80" w:type="dxa"/>
              <w:right w:w="80" w:type="dxa"/>
            </w:tcMar>
            <w:vAlign w:val="center"/>
          </w:tcPr>
          <w:p w14:paraId="0592103C">
            <w:pPr>
              <w:spacing w:line="240" w:lineRule="auto"/>
              <w:jc w:val="left"/>
              <w:rPr>
                <w:rFonts w:hint="eastAsia" w:ascii="宋体" w:hAnsi="宋体" w:eastAsia="宋体" w:cs="宋体"/>
                <w:b w:val="0"/>
                <w:color w:val="000000"/>
                <w:sz w:val="21"/>
                <w:szCs w:val="21"/>
              </w:rPr>
            </w:pPr>
          </w:p>
        </w:tc>
        <w:tc>
          <w:tcPr>
            <w:tcW w:w="1421" w:type="dxa"/>
            <w:tcBorders>
              <w:top w:val="nil"/>
              <w:left w:val="nil"/>
              <w:bottom w:val="nil"/>
              <w:right w:val="nil"/>
            </w:tcBorders>
            <w:shd w:val="clear" w:color="auto" w:fill="FFFFFF"/>
            <w:tcMar>
              <w:top w:w="80" w:type="dxa"/>
              <w:left w:w="80" w:type="dxa"/>
              <w:bottom w:w="80" w:type="dxa"/>
              <w:right w:w="80" w:type="dxa"/>
            </w:tcMar>
            <w:vAlign w:val="center"/>
          </w:tcPr>
          <w:p w14:paraId="73EC67D2">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AI 转化效率</w:t>
            </w:r>
          </w:p>
        </w:tc>
        <w:tc>
          <w:tcPr>
            <w:tcW w:w="2995" w:type="dxa"/>
            <w:tcBorders>
              <w:top w:val="nil"/>
              <w:left w:val="nil"/>
              <w:bottom w:val="nil"/>
              <w:right w:val="nil"/>
            </w:tcBorders>
            <w:shd w:val="clear" w:color="auto" w:fill="FFFFFF"/>
            <w:tcMar>
              <w:top w:w="80" w:type="dxa"/>
              <w:left w:w="80" w:type="dxa"/>
              <w:bottom w:w="80" w:type="dxa"/>
              <w:right w:w="80" w:type="dxa"/>
            </w:tcMar>
            <w:vAlign w:val="center"/>
          </w:tcPr>
          <w:p w14:paraId="42E7F6AD">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ai_conversion_efficiency</w:t>
            </w:r>
          </w:p>
        </w:tc>
        <w:tc>
          <w:tcPr>
            <w:tcW w:w="2686" w:type="dxa"/>
            <w:tcBorders>
              <w:top w:val="nil"/>
              <w:left w:val="nil"/>
              <w:bottom w:val="nil"/>
              <w:right w:val="nil"/>
            </w:tcBorders>
            <w:shd w:val="clear" w:color="auto" w:fill="FFFFFF"/>
            <w:tcMar>
              <w:top w:w="80" w:type="dxa"/>
              <w:left w:w="80" w:type="dxa"/>
              <w:bottom w:w="80" w:type="dxa"/>
              <w:right w:w="80" w:type="dxa"/>
            </w:tcMar>
            <w:vAlign w:val="center"/>
          </w:tcPr>
          <w:p w14:paraId="0E885CB9">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控制年度与行业后，实际应用指数对文本关注度回归的残差</w:t>
            </w:r>
          </w:p>
        </w:tc>
      </w:tr>
      <w:tr w14:paraId="1FC2E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21" w:type="dxa"/>
            <w:tcBorders>
              <w:top w:val="nil"/>
              <w:left w:val="nil"/>
              <w:bottom w:val="nil"/>
              <w:right w:val="nil"/>
            </w:tcBorders>
            <w:shd w:val="clear" w:color="auto" w:fill="FFFFFF"/>
            <w:tcMar>
              <w:top w:w="80" w:type="dxa"/>
              <w:left w:w="80" w:type="dxa"/>
              <w:bottom w:w="80" w:type="dxa"/>
              <w:right w:w="80" w:type="dxa"/>
            </w:tcMar>
            <w:vAlign w:val="center"/>
          </w:tcPr>
          <w:p w14:paraId="721B78BB">
            <w:pPr>
              <w:keepNext w:val="0"/>
              <w:keepLines w:val="0"/>
              <w:widowControl/>
              <w:suppressLineNumbers w:val="0"/>
              <w:spacing w:line="240" w:lineRule="auto"/>
              <w:jc w:val="left"/>
              <w:rPr>
                <w:rFonts w:hint="eastAsia" w:ascii="宋体" w:hAnsi="宋体" w:eastAsia="宋体" w:cs="宋体"/>
                <w:b w:val="0"/>
                <w:color w:val="000000"/>
                <w:sz w:val="21"/>
                <w:szCs w:val="21"/>
              </w:rPr>
            </w:pPr>
            <w:r>
              <w:rPr>
                <w:rStyle w:val="23"/>
                <w:rFonts w:hint="eastAsia" w:ascii="宋体" w:hAnsi="宋体" w:eastAsia="宋体" w:cs="宋体"/>
                <w:b w:val="0"/>
                <w:color w:val="000000"/>
                <w:kern w:val="0"/>
                <w:sz w:val="21"/>
                <w:szCs w:val="21"/>
                <w:lang w:val="en-US" w:eastAsia="zh-CN" w:bidi="ar"/>
                <w14:ligatures w14:val="none"/>
              </w:rPr>
              <w:t>控制变量</w:t>
            </w:r>
          </w:p>
        </w:tc>
        <w:tc>
          <w:tcPr>
            <w:tcW w:w="1421" w:type="dxa"/>
            <w:tcBorders>
              <w:top w:val="nil"/>
              <w:left w:val="nil"/>
              <w:bottom w:val="nil"/>
              <w:right w:val="nil"/>
            </w:tcBorders>
            <w:shd w:val="clear" w:color="auto" w:fill="FFFFFF"/>
            <w:tcMar>
              <w:top w:w="80" w:type="dxa"/>
              <w:left w:w="80" w:type="dxa"/>
              <w:bottom w:w="80" w:type="dxa"/>
              <w:right w:w="80" w:type="dxa"/>
            </w:tcMar>
            <w:vAlign w:val="center"/>
          </w:tcPr>
          <w:p w14:paraId="44DCF8E9">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企业规模</w:t>
            </w:r>
          </w:p>
        </w:tc>
        <w:tc>
          <w:tcPr>
            <w:tcW w:w="2995" w:type="dxa"/>
            <w:tcBorders>
              <w:top w:val="nil"/>
              <w:left w:val="nil"/>
              <w:bottom w:val="nil"/>
              <w:right w:val="nil"/>
            </w:tcBorders>
            <w:shd w:val="clear" w:color="auto" w:fill="FFFFFF"/>
            <w:tcMar>
              <w:top w:w="80" w:type="dxa"/>
              <w:left w:w="80" w:type="dxa"/>
              <w:bottom w:w="80" w:type="dxa"/>
              <w:right w:w="80" w:type="dxa"/>
            </w:tcMar>
            <w:vAlign w:val="center"/>
          </w:tcPr>
          <w:p w14:paraId="6E1D4ACB">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ln_assets</w:t>
            </w:r>
          </w:p>
        </w:tc>
        <w:tc>
          <w:tcPr>
            <w:tcW w:w="2686" w:type="dxa"/>
            <w:tcBorders>
              <w:top w:val="nil"/>
              <w:left w:val="nil"/>
              <w:bottom w:val="nil"/>
              <w:right w:val="nil"/>
            </w:tcBorders>
            <w:shd w:val="clear" w:color="auto" w:fill="FFFFFF"/>
            <w:tcMar>
              <w:top w:w="80" w:type="dxa"/>
              <w:left w:w="80" w:type="dxa"/>
              <w:bottom w:w="80" w:type="dxa"/>
              <w:right w:w="80" w:type="dxa"/>
            </w:tcMar>
            <w:vAlign w:val="center"/>
          </w:tcPr>
          <w:p w14:paraId="31757B6B">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总资产取自然对数</w:t>
            </w:r>
          </w:p>
        </w:tc>
      </w:tr>
      <w:tr w14:paraId="7679C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421" w:type="dxa"/>
            <w:tcBorders>
              <w:top w:val="nil"/>
              <w:left w:val="nil"/>
              <w:bottom w:val="nil"/>
              <w:right w:val="nil"/>
            </w:tcBorders>
            <w:shd w:val="clear" w:color="auto" w:fill="FFFFFF"/>
            <w:tcMar>
              <w:top w:w="80" w:type="dxa"/>
              <w:left w:w="80" w:type="dxa"/>
              <w:bottom w:w="80" w:type="dxa"/>
              <w:right w:w="80" w:type="dxa"/>
            </w:tcMar>
            <w:vAlign w:val="center"/>
          </w:tcPr>
          <w:p w14:paraId="0E789035">
            <w:pPr>
              <w:spacing w:line="240" w:lineRule="auto"/>
              <w:jc w:val="left"/>
              <w:rPr>
                <w:rFonts w:hint="eastAsia" w:ascii="宋体" w:hAnsi="宋体" w:eastAsia="宋体" w:cs="宋体"/>
                <w:b w:val="0"/>
                <w:color w:val="000000"/>
                <w:sz w:val="21"/>
                <w:szCs w:val="21"/>
              </w:rPr>
            </w:pPr>
          </w:p>
        </w:tc>
        <w:tc>
          <w:tcPr>
            <w:tcW w:w="1421" w:type="dxa"/>
            <w:tcBorders>
              <w:top w:val="nil"/>
              <w:left w:val="nil"/>
              <w:bottom w:val="nil"/>
              <w:right w:val="nil"/>
            </w:tcBorders>
            <w:shd w:val="clear" w:color="auto" w:fill="FFFFFF"/>
            <w:tcMar>
              <w:top w:w="80" w:type="dxa"/>
              <w:left w:w="80" w:type="dxa"/>
              <w:bottom w:w="80" w:type="dxa"/>
              <w:right w:w="80" w:type="dxa"/>
            </w:tcMar>
            <w:vAlign w:val="center"/>
          </w:tcPr>
          <w:p w14:paraId="617653DD">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资产负债率</w:t>
            </w:r>
          </w:p>
        </w:tc>
        <w:tc>
          <w:tcPr>
            <w:tcW w:w="2995" w:type="dxa"/>
            <w:tcBorders>
              <w:top w:val="nil"/>
              <w:left w:val="nil"/>
              <w:bottom w:val="nil"/>
              <w:right w:val="nil"/>
            </w:tcBorders>
            <w:shd w:val="clear" w:color="auto" w:fill="FFFFFF"/>
            <w:tcMar>
              <w:top w:w="80" w:type="dxa"/>
              <w:left w:w="80" w:type="dxa"/>
              <w:bottom w:w="80" w:type="dxa"/>
              <w:right w:w="80" w:type="dxa"/>
            </w:tcMar>
            <w:vAlign w:val="center"/>
          </w:tcPr>
          <w:p w14:paraId="30C344EE">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leverage</w:t>
            </w:r>
          </w:p>
        </w:tc>
        <w:tc>
          <w:tcPr>
            <w:tcW w:w="2686" w:type="dxa"/>
            <w:tcBorders>
              <w:top w:val="nil"/>
              <w:left w:val="nil"/>
              <w:bottom w:val="nil"/>
              <w:right w:val="nil"/>
            </w:tcBorders>
            <w:shd w:val="clear" w:color="auto" w:fill="FFFFFF"/>
            <w:tcMar>
              <w:top w:w="80" w:type="dxa"/>
              <w:left w:w="80" w:type="dxa"/>
              <w:bottom w:w="80" w:type="dxa"/>
              <w:right w:w="80" w:type="dxa"/>
            </w:tcMar>
            <w:vAlign w:val="center"/>
          </w:tcPr>
          <w:p w14:paraId="482EDFDE">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总负债与总资产之比</w:t>
            </w:r>
          </w:p>
        </w:tc>
      </w:tr>
      <w:tr w14:paraId="58E92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421" w:type="dxa"/>
            <w:tcBorders>
              <w:top w:val="nil"/>
              <w:left w:val="nil"/>
              <w:bottom w:val="nil"/>
              <w:right w:val="nil"/>
            </w:tcBorders>
            <w:shd w:val="clear" w:color="auto" w:fill="FFFFFF"/>
            <w:tcMar>
              <w:top w:w="80" w:type="dxa"/>
              <w:left w:w="80" w:type="dxa"/>
              <w:bottom w:w="80" w:type="dxa"/>
              <w:right w:w="80" w:type="dxa"/>
            </w:tcMar>
            <w:vAlign w:val="center"/>
          </w:tcPr>
          <w:p w14:paraId="1BFD1225">
            <w:pPr>
              <w:spacing w:line="240" w:lineRule="auto"/>
              <w:jc w:val="left"/>
              <w:rPr>
                <w:rFonts w:hint="eastAsia" w:ascii="宋体" w:hAnsi="宋体" w:eastAsia="宋体" w:cs="宋体"/>
                <w:b w:val="0"/>
                <w:color w:val="000000"/>
                <w:sz w:val="21"/>
                <w:szCs w:val="21"/>
              </w:rPr>
            </w:pPr>
          </w:p>
        </w:tc>
        <w:tc>
          <w:tcPr>
            <w:tcW w:w="1421" w:type="dxa"/>
            <w:tcBorders>
              <w:top w:val="nil"/>
              <w:left w:val="nil"/>
              <w:bottom w:val="nil"/>
              <w:right w:val="nil"/>
            </w:tcBorders>
            <w:shd w:val="clear" w:color="auto" w:fill="FFFFFF"/>
            <w:tcMar>
              <w:top w:w="80" w:type="dxa"/>
              <w:left w:w="80" w:type="dxa"/>
              <w:bottom w:w="80" w:type="dxa"/>
              <w:right w:w="80" w:type="dxa"/>
            </w:tcMar>
            <w:vAlign w:val="center"/>
          </w:tcPr>
          <w:p w14:paraId="723E0DC1">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研发强度</w:t>
            </w:r>
          </w:p>
        </w:tc>
        <w:tc>
          <w:tcPr>
            <w:tcW w:w="2995" w:type="dxa"/>
            <w:tcBorders>
              <w:top w:val="nil"/>
              <w:left w:val="nil"/>
              <w:bottom w:val="nil"/>
              <w:right w:val="nil"/>
            </w:tcBorders>
            <w:shd w:val="clear" w:color="auto" w:fill="FFFFFF"/>
            <w:tcMar>
              <w:top w:w="80" w:type="dxa"/>
              <w:left w:w="80" w:type="dxa"/>
              <w:bottom w:w="80" w:type="dxa"/>
              <w:right w:w="80" w:type="dxa"/>
            </w:tcMar>
            <w:vAlign w:val="center"/>
          </w:tcPr>
          <w:p w14:paraId="641C6C84">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rd_intensity</w:t>
            </w:r>
          </w:p>
        </w:tc>
        <w:tc>
          <w:tcPr>
            <w:tcW w:w="2686" w:type="dxa"/>
            <w:tcBorders>
              <w:top w:val="nil"/>
              <w:left w:val="nil"/>
              <w:bottom w:val="nil"/>
              <w:right w:val="nil"/>
            </w:tcBorders>
            <w:shd w:val="clear" w:color="auto" w:fill="FFFFFF"/>
            <w:tcMar>
              <w:top w:w="80" w:type="dxa"/>
              <w:left w:w="80" w:type="dxa"/>
              <w:bottom w:w="80" w:type="dxa"/>
              <w:right w:w="80" w:type="dxa"/>
            </w:tcMar>
            <w:vAlign w:val="center"/>
          </w:tcPr>
          <w:p w14:paraId="4192BBFD">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研发投入金额 / 营业收入</w:t>
            </w:r>
          </w:p>
        </w:tc>
      </w:tr>
      <w:tr w14:paraId="40C8B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421"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7240D59B">
            <w:pPr>
              <w:spacing w:line="240" w:lineRule="auto"/>
              <w:jc w:val="left"/>
              <w:rPr>
                <w:rFonts w:hint="eastAsia" w:ascii="宋体" w:hAnsi="宋体" w:eastAsia="宋体" w:cs="宋体"/>
                <w:b w:val="0"/>
                <w:color w:val="000000"/>
                <w:sz w:val="21"/>
                <w:szCs w:val="21"/>
              </w:rPr>
            </w:pPr>
          </w:p>
        </w:tc>
        <w:tc>
          <w:tcPr>
            <w:tcW w:w="1421"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000DD59E">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企业年龄</w:t>
            </w:r>
          </w:p>
        </w:tc>
        <w:tc>
          <w:tcPr>
            <w:tcW w:w="2995"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414C74A3">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firm_age</w:t>
            </w:r>
          </w:p>
        </w:tc>
        <w:tc>
          <w:tcPr>
            <w:tcW w:w="2686"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715E6112">
            <w:pPr>
              <w:keepNext w:val="0"/>
              <w:keepLines w:val="0"/>
              <w:widowControl/>
              <w:suppressLineNumbers w:val="0"/>
              <w:spacing w:line="240" w:lineRule="auto"/>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none"/>
              </w:rPr>
              <w:t>观测年份 − 上市年份 + 1</w:t>
            </w:r>
          </w:p>
        </w:tc>
      </w:tr>
    </w:tbl>
    <w:p w14:paraId="4791427F">
      <w:pPr>
        <w:pStyle w:val="52"/>
        <w:bidi w:val="0"/>
        <w:outlineLvl w:val="1"/>
        <w:rPr>
          <w:rFonts w:hint="eastAsia"/>
        </w:rPr>
      </w:pPr>
      <w:bookmarkStart w:id="16" w:name="_Toc24123"/>
      <w:r>
        <w:rPr>
          <w:rFonts w:hint="eastAsia"/>
        </w:rPr>
        <w:t>（</w:t>
      </w:r>
      <w:r>
        <w:rPr>
          <w:rFonts w:hint="eastAsia"/>
          <w:lang w:val="en-US" w:eastAsia="zh-CN"/>
        </w:rPr>
        <w:t>二</w:t>
      </w:r>
      <w:r>
        <w:rPr>
          <w:rFonts w:hint="eastAsia"/>
        </w:rPr>
        <w:t>）数据预处理</w:t>
      </w:r>
      <w:bookmarkEnd w:id="16"/>
    </w:p>
    <w:p w14:paraId="0ED989A3">
      <w:pPr>
        <w:pStyle w:val="57"/>
        <w:bidi w:val="0"/>
        <w:outlineLvl w:val="2"/>
        <w:rPr>
          <w:rFonts w:hint="eastAsia"/>
        </w:rPr>
      </w:pPr>
      <w:bookmarkStart w:id="17" w:name="_Toc1475"/>
      <w:r>
        <w:rPr>
          <w:rFonts w:hint="eastAsia"/>
        </w:rPr>
        <w:t>1.缺失值与异常值处理</w:t>
      </w:r>
      <w:bookmarkEnd w:id="17"/>
    </w:p>
    <w:p w14:paraId="1653190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firstLine="420" w:firstLineChars="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ascii="宋体" w:hAnsi="宋体" w:eastAsia="宋体" w:cs="宋体"/>
          <w:sz w:val="24"/>
          <w:szCs w:val="24"/>
        </w:rPr>
        <w:t>在正式建模前</w:t>
      </w:r>
      <w:r>
        <w:rPr>
          <w:rFonts w:hint="eastAsia" w:ascii="宋体" w:hAnsi="宋体" w:cs="宋体"/>
          <w:sz w:val="24"/>
          <w:szCs w:val="24"/>
          <w:lang w:eastAsia="zh-CN"/>
        </w:rPr>
        <w:t>，</w:t>
      </w:r>
      <w:r>
        <w:rPr>
          <w:rFonts w:hint="eastAsia" w:ascii="宋体" w:hAnsi="宋体" w:eastAsia="宋体" w:cs="宋体"/>
          <w:kern w:val="0"/>
          <w:sz w:val="24"/>
          <w:szCs w:val="24"/>
          <w:bdr w:val="none" w:color="auto" w:sz="0" w:space="0"/>
          <w:lang w:val="en-US" w:eastAsia="zh-CN" w:bidi="ar"/>
          <w14:ligatures w14:val="none"/>
        </w:rPr>
        <w:t>本文对样本数据进行系统性缺失诊断。结果表明，缺失主要集中于AI 硬件投资、AI 投资追加等指标，缺失率在 49%—57% 之间；AI 软件投资、AI 转化效率及部分股权结构变量缺失率处于 11%—20% 区间。文本特征、企业年龄等变量缺失率约为 4%—5%，研发强度、营收增速、生产率等关键变量缺失率均低于 4%。</w:t>
      </w:r>
    </w:p>
    <w:p w14:paraId="7A6939D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firstLine="420" w:firstLineChars="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核心建模变量表现良好，提质增效指数、资产规模、资产负债率、盈利能力、运营效率等指标缺失率均低于 0.03%，几乎无缺失，能够为基准回归提供稳定的数据支撑。在处理方式上，本文对连续变量进行1% 双侧缩尾以</w:t>
      </w:r>
      <w:r>
        <w:rPr>
          <w:rFonts w:ascii="宋体" w:hAnsi="宋体" w:eastAsia="宋体" w:cs="宋体"/>
          <w:sz w:val="24"/>
          <w:szCs w:val="24"/>
        </w:rPr>
        <w:t>以降低极端值对估计结果的干扰</w:t>
      </w:r>
      <w:r>
        <w:rPr>
          <w:rFonts w:hint="eastAsia" w:ascii="宋体" w:hAnsi="宋体" w:eastAsia="宋体" w:cs="宋体"/>
          <w:kern w:val="0"/>
          <w:sz w:val="24"/>
          <w:szCs w:val="24"/>
          <w:bdr w:val="none" w:color="auto" w:sz="0" w:space="0"/>
          <w:lang w:val="en-US" w:eastAsia="zh-CN" w:bidi="ar"/>
          <w14:ligatures w14:val="none"/>
        </w:rPr>
        <w:t>；对缺失率较低的核心变量采用有效样本回归；对高缺失的 AI 投资类变量仅用于机制检验，并在稳健性分析中验证结论可靠性。</w:t>
      </w:r>
    </w:p>
    <w:p w14:paraId="4229F266">
      <w:pPr>
        <w:keepNext w:val="0"/>
        <w:keepLines w:val="0"/>
        <w:widowControl w:val="0"/>
        <w:suppressLineNumbers w:val="0"/>
        <w:tabs>
          <w:tab w:val="center" w:pos="4410"/>
          <w:tab w:val="left" w:pos="7652"/>
        </w:tabs>
        <w:autoSpaceDE w:val="0"/>
        <w:autoSpaceDN/>
        <w:spacing w:before="0" w:beforeAutospacing="0" w:after="0" w:afterAutospacing="0" w:line="480" w:lineRule="exact"/>
        <w:ind w:left="0" w:right="0" w:firstLine="480" w:firstLineChars="200"/>
        <w:jc w:val="center"/>
        <w:rPr>
          <w:rFonts w:hint="default"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color w:val="000000"/>
          <w:kern w:val="0"/>
          <w:sz w:val="24"/>
          <w:szCs w:val="24"/>
          <w:lang w:val="en-US" w:eastAsia="zh-CN" w:bidi="ar"/>
          <w14:ligatures w14:val="none"/>
          <w:woUserID w:val="2"/>
        </w:rPr>
        <w:t xml:space="preserve">表 </w:t>
      </w:r>
      <w:r>
        <w:rPr>
          <w:rFonts w:hint="eastAsia" w:ascii="宋体" w:hAnsi="宋体" w:cs="宋体"/>
          <w:color w:val="000000"/>
          <w:kern w:val="0"/>
          <w:sz w:val="24"/>
          <w:szCs w:val="24"/>
          <w:lang w:val="en-US" w:eastAsia="zh-CN" w:bidi="ar"/>
          <w14:ligatures w14:val="none"/>
          <w:woUserID w:val="2"/>
        </w:rPr>
        <w:t>2</w:t>
      </w:r>
      <w:r>
        <w:rPr>
          <w:rFonts w:hint="eastAsia" w:ascii="宋体" w:hAnsi="宋体" w:eastAsia="宋体" w:cs="宋体"/>
          <w:color w:val="000000"/>
          <w:kern w:val="0"/>
          <w:sz w:val="24"/>
          <w:szCs w:val="24"/>
          <w:lang w:val="en-US" w:eastAsia="zh-CN" w:bidi="ar"/>
          <w14:ligatures w14:val="none"/>
          <w:woUserID w:val="2"/>
        </w:rPr>
        <w:t xml:space="preserve"> </w:t>
      </w:r>
      <w:r>
        <w:rPr>
          <w:rFonts w:hint="eastAsia" w:ascii="宋体" w:hAnsi="宋体" w:cs="宋体"/>
          <w:color w:val="000000"/>
          <w:kern w:val="0"/>
          <w:sz w:val="24"/>
          <w:szCs w:val="24"/>
          <w:lang w:val="en-US" w:eastAsia="zh-CN" w:bidi="ar"/>
          <w14:ligatures w14:val="none"/>
          <w:woUserID w:val="2"/>
        </w:rPr>
        <w:t>主要变量缺失情况统计</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27"/>
        <w:gridCol w:w="4034"/>
        <w:gridCol w:w="1505"/>
      </w:tblGrid>
      <w:tr w14:paraId="07D7C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80" w:type="dxa"/>
              <w:left w:w="80" w:type="dxa"/>
              <w:bottom w:w="80" w:type="dxa"/>
              <w:right w:w="80" w:type="dxa"/>
            </w:tcMar>
            <w:vAlign w:val="center"/>
          </w:tcPr>
          <w:p w14:paraId="513E0234">
            <w:pPr>
              <w:keepNext w:val="0"/>
              <w:keepLines w:val="0"/>
              <w:widowControl/>
              <w:suppressLineNumbers w:val="0"/>
              <w:spacing w:line="240" w:lineRule="auto"/>
              <w:jc w:val="left"/>
              <w:rPr>
                <w:b w:val="0"/>
                <w:bCs/>
                <w:color w:val="000000"/>
                <w:sz w:val="21"/>
                <w:szCs w:val="21"/>
              </w:rPr>
            </w:pPr>
            <w:r>
              <w:rPr>
                <w:rFonts w:ascii="宋体" w:hAnsi="宋体" w:eastAsia="宋体" w:cs="宋体"/>
                <w:b w:val="0"/>
                <w:bCs/>
                <w:color w:val="000000"/>
                <w:kern w:val="0"/>
                <w:sz w:val="21"/>
                <w:szCs w:val="21"/>
                <w:bdr w:val="none" w:color="auto" w:sz="0" w:space="0"/>
                <w:lang w:val="en-US" w:eastAsia="zh-CN" w:bidi="ar"/>
                <w14:ligatures w14:val="none"/>
              </w:rPr>
              <w:t>变量类别</w:t>
            </w:r>
          </w:p>
        </w:tc>
        <w:tc>
          <w:tcPr>
            <w:tcW w:w="0" w:type="auto"/>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47D91BD5">
            <w:pPr>
              <w:keepNext w:val="0"/>
              <w:keepLines w:val="0"/>
              <w:widowControl/>
              <w:suppressLineNumbers w:val="0"/>
              <w:spacing w:line="240" w:lineRule="auto"/>
              <w:jc w:val="left"/>
              <w:rPr>
                <w:b w:val="0"/>
                <w:bCs/>
                <w:color w:val="000000"/>
                <w:sz w:val="21"/>
                <w:szCs w:val="21"/>
              </w:rPr>
            </w:pPr>
            <w:r>
              <w:rPr>
                <w:rFonts w:ascii="宋体" w:hAnsi="宋体" w:eastAsia="宋体" w:cs="宋体"/>
                <w:b w:val="0"/>
                <w:bCs/>
                <w:color w:val="000000"/>
                <w:kern w:val="0"/>
                <w:sz w:val="21"/>
                <w:szCs w:val="21"/>
                <w:bdr w:val="none" w:color="auto" w:sz="0" w:space="0"/>
                <w:lang w:val="en-US" w:eastAsia="zh-CN" w:bidi="ar"/>
                <w14:ligatures w14:val="none"/>
              </w:rPr>
              <w:t>代表变量</w:t>
            </w:r>
          </w:p>
        </w:tc>
        <w:tc>
          <w:tcPr>
            <w:tcW w:w="0" w:type="auto"/>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5370170">
            <w:pPr>
              <w:keepNext w:val="0"/>
              <w:keepLines w:val="0"/>
              <w:widowControl/>
              <w:suppressLineNumbers w:val="0"/>
              <w:spacing w:line="240" w:lineRule="auto"/>
              <w:jc w:val="left"/>
              <w:rPr>
                <w:b w:val="0"/>
                <w:bCs/>
                <w:color w:val="000000"/>
                <w:sz w:val="21"/>
                <w:szCs w:val="21"/>
              </w:rPr>
            </w:pPr>
            <w:r>
              <w:rPr>
                <w:rFonts w:ascii="宋体" w:hAnsi="宋体" w:eastAsia="宋体" w:cs="宋体"/>
                <w:b w:val="0"/>
                <w:bCs/>
                <w:color w:val="000000"/>
                <w:kern w:val="0"/>
                <w:sz w:val="21"/>
                <w:szCs w:val="21"/>
                <w:bdr w:val="none" w:color="auto" w:sz="0" w:space="0"/>
                <w:lang w:val="en-US" w:eastAsia="zh-CN" w:bidi="ar"/>
                <w14:ligatures w14:val="none"/>
              </w:rPr>
              <w:t>缺失率</w:t>
            </w:r>
          </w:p>
        </w:tc>
      </w:tr>
      <w:tr w14:paraId="1883B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36D4F04A">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AI 投资类变量</w:t>
            </w:r>
          </w:p>
        </w:tc>
        <w:tc>
          <w:tcPr>
            <w:tcW w:w="0" w:type="auto"/>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209D0F39">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AI 硬件投资、投资追加</w:t>
            </w:r>
          </w:p>
        </w:tc>
        <w:tc>
          <w:tcPr>
            <w:tcW w:w="0" w:type="auto"/>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7DD7CB1F">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49%–57%</w:t>
            </w:r>
          </w:p>
        </w:tc>
      </w:tr>
      <w:tr w14:paraId="0320E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2D3EDD8B">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AI 应用与机制变量</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60EFEB37">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AI 软件投资、转化效率</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0EAFEDCE">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11%–20%</w:t>
            </w:r>
          </w:p>
        </w:tc>
      </w:tr>
      <w:tr w14:paraId="0AAE9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71186884">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其他特征变量</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4A457C5A">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企业年龄、文本特征</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00547A84">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4%–5%</w:t>
            </w:r>
          </w:p>
        </w:tc>
      </w:tr>
      <w:tr w14:paraId="53D3C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7AA77295">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研发与绩效变量</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23683F88">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研发强度、营收增速、TFP</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65B76082">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2%–4%</w:t>
            </w:r>
          </w:p>
        </w:tc>
      </w:tr>
      <w:tr w14:paraId="55070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75798BF5">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核心建模变量</w:t>
            </w:r>
          </w:p>
        </w:tc>
        <w:tc>
          <w:tcPr>
            <w:tcW w:w="0" w:type="auto"/>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28B3DF8B">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提质增效指数、规模、杠杆</w:t>
            </w:r>
          </w:p>
        </w:tc>
        <w:tc>
          <w:tcPr>
            <w:tcW w:w="0" w:type="auto"/>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3B64E61C">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＜0.03%</w:t>
            </w:r>
          </w:p>
        </w:tc>
      </w:tr>
    </w:tbl>
    <w:p w14:paraId="0E6C7E6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right="0"/>
        <w:jc w:val="left"/>
        <w:textAlignment w:val="auto"/>
        <w:rPr>
          <w:rFonts w:hint="eastAsia" w:ascii="宋体" w:hAnsi="宋体" w:eastAsia="宋体" w:cs="宋体"/>
          <w:kern w:val="0"/>
          <w:sz w:val="24"/>
          <w:szCs w:val="24"/>
          <w:bdr w:val="none" w:color="auto" w:sz="0" w:space="0"/>
          <w:lang w:val="en-US" w:eastAsia="zh-CN" w:bidi="ar"/>
          <w14:ligatures w14:val="none"/>
        </w:rPr>
      </w:pPr>
    </w:p>
    <w:p w14:paraId="4085591D">
      <w:pPr>
        <w:pStyle w:val="57"/>
        <w:numPr>
          <w:ilvl w:val="0"/>
          <w:numId w:val="5"/>
        </w:numPr>
        <w:bidi w:val="0"/>
        <w:outlineLvl w:val="2"/>
        <w:rPr>
          <w:rFonts w:hint="eastAsia"/>
        </w:rPr>
      </w:pPr>
      <w:bookmarkStart w:id="18" w:name="_Toc6351"/>
      <w:r>
        <w:rPr>
          <w:rFonts w:hint="eastAsia"/>
        </w:rPr>
        <w:t>多重共线性检验</w:t>
      </w:r>
      <w:bookmarkEnd w:id="18"/>
    </w:p>
    <w:p w14:paraId="2D32547A">
      <w:pPr>
        <w:pStyle w:val="57"/>
        <w:keepNext w:val="0"/>
        <w:keepLines w:val="0"/>
        <w:pageBreakBefore w:val="0"/>
        <w:widowControl/>
        <w:numPr>
          <w:numId w:val="0"/>
        </w:numPr>
        <w:kinsoku/>
        <w:wordWrap/>
        <w:overflowPunct/>
        <w:topLinePunct w:val="0"/>
        <w:autoSpaceDE/>
        <w:autoSpaceDN/>
        <w:bidi w:val="0"/>
        <w:adjustRightInd/>
        <w:snapToGrid/>
        <w:ind w:firstLine="420" w:firstLineChars="0"/>
        <w:textAlignment w:val="auto"/>
        <w:outlineLvl w:val="2"/>
        <w:rPr>
          <w:rFonts w:hint="eastAsia"/>
          <w:b w:val="0"/>
          <w:bCs w:val="0"/>
        </w:rPr>
      </w:pPr>
      <w:bookmarkStart w:id="19" w:name="_Toc15154"/>
      <w:r>
        <w:rPr>
          <w:rFonts w:hint="eastAsia"/>
          <w:b w:val="0"/>
          <w:bCs w:val="0"/>
        </w:rPr>
        <w:t>在实证计量研究中，自变量之间若存在高度多重共线性会</w:t>
      </w:r>
      <w:r>
        <w:rPr>
          <w:rFonts w:hint="eastAsia"/>
          <w:b w:val="0"/>
          <w:bCs w:val="0"/>
          <w:lang w:val="en-US" w:eastAsia="zh-CN"/>
        </w:rPr>
        <w:t>导致</w:t>
      </w:r>
      <w:r>
        <w:rPr>
          <w:rFonts w:hint="eastAsia"/>
          <w:b w:val="0"/>
          <w:bCs w:val="0"/>
        </w:rPr>
        <w:t>回归系数估计偏误、显著性检验失效、模型解释性弱化，严重降低实证结论的科学性与可信度。为规避上述问题，保证模型参数估计的有效性，本文选用方差膨胀因子（VIF）开展多重共线性检验，参照主流实证研究判定标准，以 VIF＜5 作为无严重多重共线性的临界依据。</w:t>
      </w:r>
      <w:bookmarkEnd w:id="19"/>
    </w:p>
    <w:p w14:paraId="47908805">
      <w:pPr>
        <w:pStyle w:val="57"/>
        <w:keepNext w:val="0"/>
        <w:keepLines w:val="0"/>
        <w:pageBreakBefore w:val="0"/>
        <w:widowControl/>
        <w:numPr>
          <w:numId w:val="0"/>
        </w:numPr>
        <w:kinsoku/>
        <w:wordWrap/>
        <w:overflowPunct/>
        <w:topLinePunct w:val="0"/>
        <w:autoSpaceDE/>
        <w:autoSpaceDN/>
        <w:bidi w:val="0"/>
        <w:adjustRightInd/>
        <w:snapToGrid/>
        <w:ind w:firstLine="420" w:firstLineChars="0"/>
        <w:textAlignment w:val="auto"/>
        <w:outlineLvl w:val="2"/>
        <w:rPr>
          <w:rFonts w:hint="eastAsia"/>
          <w:b w:val="0"/>
          <w:bCs w:val="0"/>
        </w:rPr>
      </w:pPr>
      <w:bookmarkStart w:id="20" w:name="_Toc6182"/>
      <w:r>
        <w:rPr>
          <w:rFonts w:hint="eastAsia"/>
          <w:b w:val="0"/>
          <w:bCs w:val="0"/>
        </w:rPr>
        <w:t>检验结果显示：年报人工智能词频（1.143）、企业规模（1.458）、资产负债率（1.328）、研发强度（1.211）、企业年龄（1.341）、营业收入增长率（1.023）的 VIF 值均处于 1.023—1.458 之间，远低于临界值 5。表明各变量线性相关程度弱，变量组合合理，无多重共线性干扰，为后续实证分析提供可靠模型基础。</w:t>
      </w:r>
      <w:bookmarkEnd w:id="20"/>
    </w:p>
    <w:p w14:paraId="30E40793">
      <w:pPr>
        <w:pStyle w:val="57"/>
        <w:numPr>
          <w:ilvl w:val="0"/>
          <w:numId w:val="5"/>
        </w:numPr>
        <w:bidi w:val="0"/>
        <w:ind w:left="0" w:leftChars="0" w:firstLine="0" w:firstLineChars="0"/>
        <w:rPr>
          <w:rFonts w:hint="eastAsia"/>
          <w:lang w:val="en-US" w:eastAsia="zh-CN"/>
        </w:rPr>
      </w:pPr>
      <w:r>
        <w:rPr>
          <w:rFonts w:hint="eastAsia"/>
          <w:lang w:val="en-US" w:eastAsia="zh-CN"/>
        </w:rPr>
        <w:t>正态性检验</w:t>
      </w:r>
    </w:p>
    <w:p w14:paraId="7C47ED1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firstLine="420" w:firstLineChars="0"/>
        <w:jc w:val="left"/>
        <w:textAlignment w:val="auto"/>
        <w:rPr>
          <w:sz w:val="24"/>
          <w:szCs w:val="24"/>
        </w:rPr>
      </w:pPr>
      <w:r>
        <w:rPr>
          <w:rFonts w:ascii="宋体" w:hAnsi="宋体" w:eastAsia="宋体" w:cs="宋体"/>
          <w:kern w:val="0"/>
          <w:sz w:val="24"/>
          <w:szCs w:val="24"/>
          <w:bdr w:val="none" w:color="auto" w:sz="0" w:space="0"/>
          <w:lang w:val="en-US" w:eastAsia="zh-CN" w:bidi="ar"/>
          <w14:ligatures w14:val="none"/>
        </w:rPr>
        <w:t>经典面板计量模型的参数估计与假设检验，均依托变量近似正态分布的基础前提，数据分布形态是否合理，直接决定回归结果的有效性。因此，本文采用 Shapiro-Wilk 检验对提质增效指数、人工智能应用指数、企业规模、资产负债率等核心连续变量进行综合正态性判定。</w:t>
      </w:r>
    </w:p>
    <w:p w14:paraId="6794532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firstLine="420" w:firstLineChars="0"/>
        <w:jc w:val="left"/>
        <w:textAlignment w:val="auto"/>
        <w:rPr>
          <w:rFonts w:hint="default"/>
          <w:lang w:val="en-US" w:eastAsia="zh-CN"/>
        </w:rPr>
      </w:pPr>
      <w:r>
        <w:rPr>
          <w:rFonts w:ascii="宋体" w:hAnsi="宋体" w:eastAsia="宋体" w:cs="宋体"/>
          <w:kern w:val="0"/>
          <w:sz w:val="24"/>
          <w:szCs w:val="24"/>
          <w:bdr w:val="none" w:color="auto" w:sz="0" w:space="0"/>
          <w:lang w:val="en-US" w:eastAsia="zh-CN" w:bidi="ar"/>
          <w14:ligatures w14:val="none"/>
        </w:rPr>
        <w:t>结果表明，受微观企业样本异质性影响，各变量无法完全满足严格标准正态分布，但整体分布形态连续平滑，无极端偏移、断崖式分布与异常离散值。结合本文大样本面板数据特征，，核心变量均满足</w:t>
      </w:r>
      <w:r>
        <w:rPr>
          <w:rStyle w:val="23"/>
          <w:rFonts w:ascii="宋体" w:hAnsi="宋体" w:eastAsia="宋体" w:cs="宋体"/>
          <w:b w:val="0"/>
          <w:bCs w:val="0"/>
          <w:kern w:val="0"/>
          <w:sz w:val="24"/>
          <w:szCs w:val="24"/>
          <w:bdr w:val="none" w:color="auto" w:sz="0" w:space="0"/>
          <w:lang w:val="en-US" w:eastAsia="zh-CN" w:bidi="ar"/>
          <w14:ligatures w14:val="none"/>
        </w:rPr>
        <w:t>近似正态分布</w:t>
      </w:r>
      <w:r>
        <w:rPr>
          <w:rFonts w:ascii="宋体" w:hAnsi="宋体" w:eastAsia="宋体" w:cs="宋体"/>
          <w:kern w:val="0"/>
          <w:sz w:val="24"/>
          <w:szCs w:val="24"/>
          <w:bdr w:val="none" w:color="auto" w:sz="0" w:space="0"/>
          <w:lang w:val="en-US" w:eastAsia="zh-CN" w:bidi="ar"/>
          <w14:ligatures w14:val="none"/>
        </w:rPr>
        <w:t>的建模要求，符合面板回归的基本统计假设，能够支撑后续实证检验。</w:t>
      </w:r>
    </w:p>
    <w:p w14:paraId="7F17B855">
      <w:pPr>
        <w:pStyle w:val="52"/>
        <w:bidi w:val="0"/>
        <w:outlineLvl w:val="1"/>
        <w:rPr>
          <w:rFonts w:hint="eastAsia"/>
        </w:rPr>
      </w:pPr>
      <w:bookmarkStart w:id="21" w:name="_Toc28897"/>
      <w:r>
        <w:rPr>
          <w:rFonts w:hint="eastAsia"/>
        </w:rPr>
        <w:t>（</w:t>
      </w:r>
      <w:r>
        <w:rPr>
          <w:rFonts w:hint="eastAsia"/>
          <w:lang w:val="en-US" w:eastAsia="zh-CN"/>
        </w:rPr>
        <w:t>三</w:t>
      </w:r>
      <w:r>
        <w:rPr>
          <w:rFonts w:hint="eastAsia"/>
        </w:rPr>
        <w:t>）描述性统计</w:t>
      </w:r>
      <w:bookmarkEnd w:id="21"/>
    </w:p>
    <w:p w14:paraId="3CB774C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firstLine="420" w:firstLineChars="0"/>
        <w:jc w:val="left"/>
        <w:textAlignment w:val="auto"/>
        <w:outlineLvl w:val="2"/>
        <w:rPr>
          <w:rFonts w:hint="eastAsia" w:ascii="宋体" w:hAnsi="宋体" w:eastAsia="宋体" w:cs="宋体"/>
          <w:kern w:val="0"/>
          <w:sz w:val="24"/>
          <w:szCs w:val="24"/>
          <w:bdr w:val="none" w:color="auto" w:sz="0" w:space="0"/>
          <w:lang w:val="en-US" w:eastAsia="zh-CN" w:bidi="ar"/>
          <w14:ligatures w14:val="none"/>
        </w:rPr>
      </w:pPr>
      <w:bookmarkStart w:id="22" w:name="_Toc9248"/>
      <w:r>
        <w:rPr>
          <w:rFonts w:hint="eastAsia" w:ascii="宋体" w:hAnsi="宋体" w:eastAsia="宋体" w:cs="宋体"/>
          <w:kern w:val="0"/>
          <w:sz w:val="24"/>
          <w:szCs w:val="24"/>
          <w:bdr w:val="none" w:color="auto" w:sz="0" w:space="0"/>
          <w:lang w:val="en-US" w:eastAsia="zh-CN" w:bidi="ar"/>
          <w14:ligatures w14:val="none"/>
        </w:rPr>
        <w:t>为直观反映核心变量的分布特征，本文对主要变量进行描述性统计。结果显示，提质增效指数均值趋近于 0，标准差为 0.794，说明企业间高质量发展水平存在明显分化。人工智能应用指数均值为 - 0.017，标准差为 0.718，反映企业智能化投入与战略关注差异显著。全要素生产率均值为 7.709，整体处于合理区间。企业规模对数均值为 21.984，分布较为集中；资产负债率均值为 0.392，整体负债水平适中。研发强度均值为 2.022，离散程度较大，与制造业企业研发投入差异明显的现实一致。企业年龄均值为 9.114，营业收入增长率均值为 2.685，部分企业呈现高增长特征。整体来看，各变量分布符合理论预期，无异常取值，满足后续回归建模要求。</w:t>
      </w:r>
      <w:bookmarkEnd w:id="22"/>
    </w:p>
    <w:p w14:paraId="4A1F22B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firstLine="420" w:firstLineChars="0"/>
        <w:jc w:val="center"/>
        <w:textAlignment w:val="auto"/>
        <w:outlineLvl w:val="2"/>
        <w:rPr>
          <w:rFonts w:hint="default" w:ascii="宋体" w:hAnsi="宋体" w:eastAsia="宋体" w:cs="宋体"/>
          <w:kern w:val="0"/>
          <w:sz w:val="24"/>
          <w:szCs w:val="24"/>
          <w:bdr w:val="none" w:color="auto" w:sz="0" w:space="0"/>
          <w:lang w:val="en-US" w:eastAsia="zh-CN" w:bidi="ar"/>
          <w14:ligatures w14:val="none"/>
        </w:rPr>
      </w:pPr>
      <w:bookmarkStart w:id="23" w:name="_Toc28034"/>
      <w:r>
        <w:rPr>
          <w:rFonts w:hint="eastAsia" w:ascii="宋体" w:hAnsi="宋体" w:eastAsia="宋体" w:cs="宋体"/>
          <w:kern w:val="0"/>
          <w:sz w:val="24"/>
          <w:szCs w:val="24"/>
          <w:bdr w:val="none" w:color="auto" w:sz="0" w:space="0"/>
          <w:lang w:val="en-US" w:eastAsia="zh-CN" w:bidi="ar"/>
          <w14:ligatures w14:val="none"/>
        </w:rPr>
        <w:t>表格</w:t>
      </w:r>
      <w:r>
        <w:rPr>
          <w:rFonts w:hint="eastAsia" w:ascii="宋体" w:hAnsi="宋体" w:cs="宋体"/>
          <w:kern w:val="0"/>
          <w:sz w:val="24"/>
          <w:szCs w:val="24"/>
          <w:bdr w:val="none" w:color="auto" w:sz="0" w:space="0"/>
          <w:lang w:val="en-US" w:eastAsia="zh-CN" w:bidi="ar"/>
          <w14:ligatures w14:val="none"/>
        </w:rPr>
        <w:t xml:space="preserve">3 </w:t>
      </w:r>
      <w:r>
        <w:rPr>
          <w:rFonts w:ascii="宋体" w:hAnsi="宋体" w:eastAsia="宋体" w:cs="宋体"/>
          <w:sz w:val="24"/>
          <w:szCs w:val="24"/>
        </w:rPr>
        <w:t>主要变量描述性统计</w:t>
      </w:r>
      <w:bookmarkEnd w:id="23"/>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55"/>
        <w:gridCol w:w="842"/>
        <w:gridCol w:w="842"/>
        <w:gridCol w:w="954"/>
        <w:gridCol w:w="954"/>
        <w:gridCol w:w="842"/>
        <w:gridCol w:w="1177"/>
      </w:tblGrid>
      <w:tr w14:paraId="76DCF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80" w:type="dxa"/>
              <w:left w:w="80" w:type="dxa"/>
              <w:bottom w:w="80" w:type="dxa"/>
              <w:right w:w="80" w:type="dxa"/>
            </w:tcMar>
            <w:vAlign w:val="center"/>
          </w:tcPr>
          <w:p w14:paraId="78E72962">
            <w:pPr>
              <w:keepNext w:val="0"/>
              <w:keepLines w:val="0"/>
              <w:widowControl/>
              <w:suppressLineNumbers w:val="0"/>
              <w:spacing w:line="240" w:lineRule="auto"/>
              <w:jc w:val="left"/>
              <w:rPr>
                <w:b w:val="0"/>
                <w:bCs/>
                <w:color w:val="000000"/>
                <w:sz w:val="21"/>
                <w:szCs w:val="21"/>
              </w:rPr>
            </w:pPr>
            <w:r>
              <w:rPr>
                <w:rFonts w:ascii="宋体" w:hAnsi="宋体" w:eastAsia="宋体" w:cs="宋体"/>
                <w:b w:val="0"/>
                <w:bCs/>
                <w:color w:val="000000"/>
                <w:kern w:val="0"/>
                <w:sz w:val="21"/>
                <w:szCs w:val="21"/>
                <w:bdr w:val="none" w:color="auto" w:sz="0" w:space="0"/>
                <w:lang w:val="en-US" w:eastAsia="zh-CN" w:bidi="ar"/>
                <w14:ligatures w14:val="none"/>
              </w:rPr>
              <w:t>变量符号</w:t>
            </w:r>
          </w:p>
        </w:tc>
        <w:tc>
          <w:tcPr>
            <w:tcW w:w="0" w:type="auto"/>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619B2D14">
            <w:pPr>
              <w:keepNext w:val="0"/>
              <w:keepLines w:val="0"/>
              <w:widowControl/>
              <w:suppressLineNumbers w:val="0"/>
              <w:spacing w:line="240" w:lineRule="auto"/>
              <w:jc w:val="left"/>
              <w:rPr>
                <w:b w:val="0"/>
                <w:bCs/>
                <w:color w:val="000000"/>
                <w:sz w:val="21"/>
                <w:szCs w:val="21"/>
              </w:rPr>
            </w:pPr>
            <w:r>
              <w:rPr>
                <w:rFonts w:ascii="宋体" w:hAnsi="宋体" w:eastAsia="宋体" w:cs="宋体"/>
                <w:b w:val="0"/>
                <w:bCs/>
                <w:color w:val="000000"/>
                <w:kern w:val="0"/>
                <w:sz w:val="21"/>
                <w:szCs w:val="21"/>
                <w:bdr w:val="none" w:color="auto" w:sz="0" w:space="0"/>
                <w:lang w:val="en-US" w:eastAsia="zh-CN" w:bidi="ar"/>
                <w14:ligatures w14:val="none"/>
              </w:rPr>
              <w:t>样本量</w:t>
            </w:r>
          </w:p>
        </w:tc>
        <w:tc>
          <w:tcPr>
            <w:tcW w:w="0" w:type="auto"/>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2A7F071A">
            <w:pPr>
              <w:keepNext w:val="0"/>
              <w:keepLines w:val="0"/>
              <w:widowControl/>
              <w:suppressLineNumbers w:val="0"/>
              <w:spacing w:line="240" w:lineRule="auto"/>
              <w:jc w:val="left"/>
              <w:rPr>
                <w:b w:val="0"/>
                <w:bCs/>
                <w:color w:val="000000"/>
                <w:sz w:val="21"/>
                <w:szCs w:val="21"/>
              </w:rPr>
            </w:pPr>
            <w:r>
              <w:rPr>
                <w:rFonts w:ascii="宋体" w:hAnsi="宋体" w:eastAsia="宋体" w:cs="宋体"/>
                <w:b w:val="0"/>
                <w:bCs/>
                <w:color w:val="000000"/>
                <w:kern w:val="0"/>
                <w:sz w:val="21"/>
                <w:szCs w:val="21"/>
                <w:bdr w:val="none" w:color="auto" w:sz="0" w:space="0"/>
                <w:lang w:val="en-US" w:eastAsia="zh-CN" w:bidi="ar"/>
                <w14:ligatures w14:val="none"/>
              </w:rPr>
              <w:t>均值</w:t>
            </w:r>
          </w:p>
        </w:tc>
        <w:tc>
          <w:tcPr>
            <w:tcW w:w="0" w:type="auto"/>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7A7038D2">
            <w:pPr>
              <w:keepNext w:val="0"/>
              <w:keepLines w:val="0"/>
              <w:widowControl/>
              <w:suppressLineNumbers w:val="0"/>
              <w:spacing w:line="240" w:lineRule="auto"/>
              <w:jc w:val="left"/>
              <w:rPr>
                <w:b w:val="0"/>
                <w:bCs/>
                <w:color w:val="000000"/>
                <w:sz w:val="21"/>
                <w:szCs w:val="21"/>
              </w:rPr>
            </w:pPr>
            <w:r>
              <w:rPr>
                <w:rFonts w:ascii="宋体" w:hAnsi="宋体" w:eastAsia="宋体" w:cs="宋体"/>
                <w:b w:val="0"/>
                <w:bCs/>
                <w:color w:val="000000"/>
                <w:kern w:val="0"/>
                <w:sz w:val="21"/>
                <w:szCs w:val="21"/>
                <w:bdr w:val="none" w:color="auto" w:sz="0" w:space="0"/>
                <w:lang w:val="en-US" w:eastAsia="zh-CN" w:bidi="ar"/>
                <w14:ligatures w14:val="none"/>
              </w:rPr>
              <w:t>标准差</w:t>
            </w:r>
          </w:p>
        </w:tc>
        <w:tc>
          <w:tcPr>
            <w:tcW w:w="0" w:type="auto"/>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1DB4A36">
            <w:pPr>
              <w:keepNext w:val="0"/>
              <w:keepLines w:val="0"/>
              <w:widowControl/>
              <w:suppressLineNumbers w:val="0"/>
              <w:spacing w:line="240" w:lineRule="auto"/>
              <w:jc w:val="left"/>
              <w:rPr>
                <w:b w:val="0"/>
                <w:bCs/>
                <w:color w:val="000000"/>
                <w:sz w:val="21"/>
                <w:szCs w:val="21"/>
              </w:rPr>
            </w:pPr>
            <w:r>
              <w:rPr>
                <w:rFonts w:ascii="宋体" w:hAnsi="宋体" w:eastAsia="宋体" w:cs="宋体"/>
                <w:b w:val="0"/>
                <w:bCs/>
                <w:color w:val="000000"/>
                <w:kern w:val="0"/>
                <w:sz w:val="21"/>
                <w:szCs w:val="21"/>
                <w:bdr w:val="none" w:color="auto" w:sz="0" w:space="0"/>
                <w:lang w:val="en-US" w:eastAsia="zh-CN" w:bidi="ar"/>
                <w14:ligatures w14:val="none"/>
              </w:rPr>
              <w:t>最小值</w:t>
            </w:r>
          </w:p>
        </w:tc>
        <w:tc>
          <w:tcPr>
            <w:tcW w:w="0" w:type="auto"/>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7135C9C8">
            <w:pPr>
              <w:keepNext w:val="0"/>
              <w:keepLines w:val="0"/>
              <w:widowControl/>
              <w:suppressLineNumbers w:val="0"/>
              <w:spacing w:line="240" w:lineRule="auto"/>
              <w:jc w:val="left"/>
              <w:rPr>
                <w:b w:val="0"/>
                <w:bCs/>
                <w:color w:val="000000"/>
                <w:sz w:val="21"/>
                <w:szCs w:val="21"/>
              </w:rPr>
            </w:pPr>
            <w:r>
              <w:rPr>
                <w:rFonts w:ascii="宋体" w:hAnsi="宋体" w:eastAsia="宋体" w:cs="宋体"/>
                <w:b w:val="0"/>
                <w:bCs/>
                <w:color w:val="000000"/>
                <w:kern w:val="0"/>
                <w:sz w:val="21"/>
                <w:szCs w:val="21"/>
                <w:bdr w:val="none" w:color="auto" w:sz="0" w:space="0"/>
                <w:lang w:val="en-US" w:eastAsia="zh-CN" w:bidi="ar"/>
                <w14:ligatures w14:val="none"/>
              </w:rPr>
              <w:t>中位数</w:t>
            </w:r>
          </w:p>
        </w:tc>
        <w:tc>
          <w:tcPr>
            <w:tcW w:w="0" w:type="auto"/>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EDBD1A8">
            <w:pPr>
              <w:keepNext w:val="0"/>
              <w:keepLines w:val="0"/>
              <w:widowControl/>
              <w:suppressLineNumbers w:val="0"/>
              <w:spacing w:line="240" w:lineRule="auto"/>
              <w:jc w:val="left"/>
              <w:rPr>
                <w:b w:val="0"/>
                <w:bCs/>
                <w:color w:val="000000"/>
                <w:sz w:val="21"/>
                <w:szCs w:val="21"/>
              </w:rPr>
            </w:pPr>
            <w:r>
              <w:rPr>
                <w:rFonts w:ascii="宋体" w:hAnsi="宋体" w:eastAsia="宋体" w:cs="宋体"/>
                <w:b w:val="0"/>
                <w:bCs/>
                <w:color w:val="000000"/>
                <w:kern w:val="0"/>
                <w:sz w:val="21"/>
                <w:szCs w:val="21"/>
                <w:bdr w:val="none" w:color="auto" w:sz="0" w:space="0"/>
                <w:lang w:val="en-US" w:eastAsia="zh-CN" w:bidi="ar"/>
                <w14:ligatures w14:val="none"/>
              </w:rPr>
              <w:t>最大值</w:t>
            </w:r>
          </w:p>
        </w:tc>
      </w:tr>
      <w:tr w14:paraId="6CDBC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44A2165B">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quality_efficiency_index</w:t>
            </w:r>
          </w:p>
        </w:tc>
        <w:tc>
          <w:tcPr>
            <w:tcW w:w="0" w:type="auto"/>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6A53639A">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29614</w:t>
            </w:r>
          </w:p>
        </w:tc>
        <w:tc>
          <w:tcPr>
            <w:tcW w:w="0" w:type="auto"/>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1121A688">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0.000</w:t>
            </w:r>
          </w:p>
        </w:tc>
        <w:tc>
          <w:tcPr>
            <w:tcW w:w="0" w:type="auto"/>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5A3EA394">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0.794</w:t>
            </w:r>
          </w:p>
        </w:tc>
        <w:tc>
          <w:tcPr>
            <w:tcW w:w="0" w:type="auto"/>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27C7020D">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-4.020</w:t>
            </w:r>
          </w:p>
        </w:tc>
        <w:tc>
          <w:tcPr>
            <w:tcW w:w="0" w:type="auto"/>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52E96640">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-0.002</w:t>
            </w:r>
          </w:p>
        </w:tc>
        <w:tc>
          <w:tcPr>
            <w:tcW w:w="0" w:type="auto"/>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6CC77726">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3.332</w:t>
            </w:r>
          </w:p>
        </w:tc>
      </w:tr>
      <w:tr w14:paraId="43EEC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7D79B75B">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annual_ai_log</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545402C7">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28456</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6FA23F4E">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0.954</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7691ACE7">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1.193</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680CDC52">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0.000</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0182C402">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0.693</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2964A56D">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6.404</w:t>
            </w:r>
          </w:p>
        </w:tc>
      </w:tr>
      <w:tr w14:paraId="54F83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12471D12">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mda_ai_log</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3157859B">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28456</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45F01765">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0.794</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67C83FA6">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1.092</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0F286CF7">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0.000</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56A3164E">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0.000</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500A1F78">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6.328</w:t>
            </w:r>
          </w:p>
        </w:tc>
      </w:tr>
      <w:tr w14:paraId="638F0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3826E7FD">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ai_application_index</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23F6D622">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28941</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6E1F3966">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-0.017</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000A5555">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0.718</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2847C119">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-2.402</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7C91B4A3">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-0.200</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0DCCDB5E">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11.452</w:t>
            </w:r>
          </w:p>
        </w:tc>
      </w:tr>
      <w:tr w14:paraId="4A0C9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3EDC7EFE">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ai_invest_log</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298D9FDF">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26102</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2CC276F2">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15.666</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60E748C0">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2.012</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50F581D5">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0.000</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27936851">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15.739</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18C5271D">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22.802</w:t>
            </w:r>
          </w:p>
        </w:tc>
      </w:tr>
      <w:tr w14:paraId="284D2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7F0FFC84">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tfp</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48D9A247">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28832</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1D60C43E">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7.709</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06156C9F">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0.703</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76D403FA">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2.241</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149DD547">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7.685</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776A0651">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11.787</w:t>
            </w:r>
          </w:p>
        </w:tc>
      </w:tr>
      <w:tr w14:paraId="4EAC2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44B64F54">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ln_assets</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6C052898">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29615</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5C76D513">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21.984</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7F11C163">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1.260</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212E1079">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16.161</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6C3C1596">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21.850</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31FF456C">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27.638</w:t>
            </w:r>
          </w:p>
        </w:tc>
      </w:tr>
      <w:tr w14:paraId="69DFA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42C2058D">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leverage</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038728F6">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29615</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38B9C924">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0.392</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75F9A079">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0.433</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4B0B2ABF">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-0.195</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1A8A5EDA">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0.374</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3CF3289A">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63.971</w:t>
            </w:r>
          </w:p>
        </w:tc>
      </w:tr>
      <w:tr w14:paraId="16C70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08AC4245">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rd_intensity</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417B57B0">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28751</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174ABAD0">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2.022</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535D7775">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252.345</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21AE2A52">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-0.734</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0A0B5E7E">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0.042</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692C45DB">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41693.794</w:t>
            </w:r>
          </w:p>
        </w:tc>
      </w:tr>
      <w:tr w14:paraId="4B204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483576A3">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firm_age</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421DBE1F">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28100</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076A7131">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9.114</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289AC705">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7.813</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193F8ABF">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0.000</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57D3A415">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7.000</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642AA866">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34.000</w:t>
            </w:r>
          </w:p>
        </w:tc>
      </w:tr>
      <w:tr w14:paraId="6D3D8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53CAA619">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revenue_growth</w:t>
            </w:r>
          </w:p>
        </w:tc>
        <w:tc>
          <w:tcPr>
            <w:tcW w:w="0" w:type="auto"/>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5D33E030">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28756</w:t>
            </w:r>
          </w:p>
        </w:tc>
        <w:tc>
          <w:tcPr>
            <w:tcW w:w="0" w:type="auto"/>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6494C04A">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2.685</w:t>
            </w:r>
          </w:p>
        </w:tc>
        <w:tc>
          <w:tcPr>
            <w:tcW w:w="0" w:type="auto"/>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5936B460">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351.534</w:t>
            </w:r>
          </w:p>
        </w:tc>
        <w:tc>
          <w:tcPr>
            <w:tcW w:w="0" w:type="auto"/>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01438940">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-29.476</w:t>
            </w:r>
          </w:p>
        </w:tc>
        <w:tc>
          <w:tcPr>
            <w:tcW w:w="0" w:type="auto"/>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0618D6AE">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0.096</w:t>
            </w:r>
          </w:p>
        </w:tc>
        <w:tc>
          <w:tcPr>
            <w:tcW w:w="0" w:type="auto"/>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2503606C">
            <w:pPr>
              <w:keepNext w:val="0"/>
              <w:keepLines w:val="0"/>
              <w:widowControl/>
              <w:suppressLineNumbers w:val="0"/>
              <w:spacing w:line="240" w:lineRule="auto"/>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14:ligatures w14:val="none"/>
              </w:rPr>
              <w:t>59411.549</w:t>
            </w:r>
          </w:p>
        </w:tc>
      </w:tr>
    </w:tbl>
    <w:p w14:paraId="74E93F0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firstLine="420" w:firstLineChars="0"/>
        <w:jc w:val="left"/>
        <w:textAlignment w:val="auto"/>
        <w:outlineLvl w:val="2"/>
        <w:rPr>
          <w:rFonts w:hint="eastAsia" w:ascii="宋体" w:hAnsi="宋体" w:eastAsia="宋体" w:cs="宋体"/>
          <w:kern w:val="0"/>
          <w:sz w:val="24"/>
          <w:szCs w:val="24"/>
          <w:bdr w:val="none" w:color="auto" w:sz="0" w:space="0"/>
          <w:lang w:val="en-US" w:eastAsia="zh-CN" w:bidi="ar"/>
          <w14:ligatures w14:val="none"/>
        </w:rPr>
      </w:pPr>
    </w:p>
    <w:p w14:paraId="596E9DC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bdr w:val="none" w:color="auto" w:sz="0" w:space="0"/>
          <w:lang w:val="en-US" w:eastAsia="zh-CN" w:bidi="ar"/>
          <w14:ligatures w14:val="none"/>
        </w:rPr>
        <w:t>图 3 为各变量分布直方图，核心变量基本符合近似正态分布，适合回归建模。</w:t>
      </w:r>
    </w:p>
    <w:p w14:paraId="3806E8B0"/>
    <w:p w14:paraId="09FA299B">
      <w:pPr>
        <w:pStyle w:val="53"/>
        <w:bidi w:val="0"/>
        <w:outlineLvl w:val="0"/>
        <w:rPr>
          <w:rFonts w:hint="eastAsia"/>
          <w:lang w:val="en-US" w:eastAsia="zh-CN"/>
        </w:rPr>
      </w:pPr>
      <w:bookmarkStart w:id="24" w:name="_Toc21932"/>
      <w:r>
        <w:rPr>
          <w:rFonts w:hint="eastAsia"/>
          <w:lang w:val="en-US" w:eastAsia="zh-CN"/>
        </w:rPr>
        <w:t>模型建立</w:t>
      </w:r>
      <w:bookmarkEnd w:id="24"/>
      <w:r>
        <w:rPr>
          <w:rFonts w:hint="eastAsia"/>
          <w:lang w:val="en-US" w:eastAsia="zh-CN"/>
        </w:rPr>
        <w:t xml:space="preserve"> </w:t>
      </w:r>
    </w:p>
    <w:p w14:paraId="3776FE73">
      <w:pPr>
        <w:pStyle w:val="52"/>
        <w:bidi w:val="0"/>
        <w:outlineLvl w:val="1"/>
        <w:rPr>
          <w:rFonts w:hint="eastAsia"/>
        </w:rPr>
      </w:pPr>
      <w:bookmarkStart w:id="25" w:name="_Toc18221"/>
      <w:r>
        <w:rPr>
          <w:rFonts w:hint="eastAsia"/>
        </w:rPr>
        <w:t>（一）模型设定依据</w:t>
      </w:r>
      <w:bookmarkEnd w:id="25"/>
    </w:p>
    <w:p w14:paraId="49DA162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ascii="宋体" w:hAnsi="宋体" w:eastAsia="宋体" w:cs="宋体"/>
          <w:sz w:val="24"/>
          <w:szCs w:val="24"/>
        </w:rPr>
      </w:pPr>
      <w:r>
        <w:rPr>
          <w:rFonts w:ascii="宋体" w:hAnsi="宋体" w:eastAsia="宋体" w:cs="宋体"/>
          <w:sz w:val="24"/>
          <w:szCs w:val="24"/>
        </w:rPr>
        <w:t>本研究采用 A 股制造业上市公司企业 - 年份面板数据展开分析，固定效应模型的选择主要适配面板数据特征与研究问题双重需求：从数据特征来看，面板数据包含企业、时间二维维度，存在不随时间变化的企业个体异质性（如企业固有治理特征）和不随企业变化的时间异质性（如年度宏观政策冲击），固定效应模型可通过吸收个体固定效应和时间固定效应，剥离不可观测的异质性干扰，缓解遗漏变量偏误；从研究问题来看，本研究核心是检验 AI 关注度与制造业企业提质增效的关联关系，需控制制造业细分行业差异、宏观年份冲击及企业自身经营特征的混杂影响。固定效应模型能够在控制企业规模、资产负债率等可观测特征基础上，进一步剔除行业和年度层面的系统性差异，更精准地识别核心解释变量与被解释变量的净相关关系。此外，相较于混合 OLS 回归，固定效应模型针对同一企业不同年份的变化进行分析，更贴合 “AI 关注度变化是否伴随提质增效水平变化” 的研究逻辑，且通过公司层面聚类稳健标准误的设定，可缓解同一企业不同年份误差项相关带来的序列相关问题。</w:t>
      </w:r>
    </w:p>
    <w:p w14:paraId="05FA4CA2">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Style w:val="58"/>
        </w:rPr>
      </w:pPr>
      <w:r>
        <w:rPr>
          <w:rStyle w:val="58"/>
        </w:rPr>
        <w:t>基准模型构建</w:t>
      </w:r>
    </w:p>
    <w:p w14:paraId="6E88330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both"/>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基准固定效应模型的数学表达式如下：</w:t>
      </w:r>
    </w:p>
    <w:p w14:paraId="49A51AD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both"/>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Yit​=α0​+α1​Xit​+∑k=2n​αk​Controlskit​+λt​+μj​+εit​</w:t>
      </w:r>
    </w:p>
    <w:p w14:paraId="56E2D22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both"/>
        <w:textAlignment w:val="auto"/>
        <w:rPr>
          <w:rFonts w:hint="eastAsia" w:ascii="宋体" w:hAnsi="宋体" w:eastAsia="宋体" w:cs="宋体"/>
          <w:sz w:val="24"/>
          <w:szCs w:val="24"/>
        </w:rPr>
      </w:pPr>
      <w:r>
        <w:rPr>
          <w:rStyle w:val="23"/>
          <w:rFonts w:hint="eastAsia" w:ascii="宋体" w:hAnsi="宋体" w:eastAsia="宋体" w:cs="宋体"/>
          <w:b/>
          <w:bCs/>
          <w:kern w:val="0"/>
          <w:sz w:val="24"/>
          <w:szCs w:val="24"/>
          <w:bdr w:val="none" w:color="auto" w:sz="0" w:space="0"/>
          <w:lang w:val="en-US" w:eastAsia="zh-CN" w:bidi="ar"/>
          <w14:ligatures w14:val="none"/>
        </w:rPr>
        <w:t>参数与变量含义</w:t>
      </w:r>
      <w:r>
        <w:rPr>
          <w:rFonts w:hint="eastAsia" w:ascii="宋体" w:hAnsi="宋体" w:eastAsia="宋体" w:cs="宋体"/>
          <w:kern w:val="0"/>
          <w:sz w:val="24"/>
          <w:szCs w:val="24"/>
          <w:bdr w:val="none" w:color="auto" w:sz="0" w:space="0"/>
          <w:lang w:val="en-US" w:eastAsia="zh-CN" w:bidi="ar"/>
          <w14:ligatures w14:val="none"/>
        </w:rPr>
        <w:t>：</w:t>
      </w:r>
    </w:p>
    <w:p w14:paraId="06BF96C0">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360" w:leftChars="0" w:right="0" w:rightChars="0"/>
        <w:jc w:val="both"/>
        <w:textAlignment w:val="auto"/>
        <w:rPr>
          <w:rFonts w:hint="eastAsia" w:ascii="宋体" w:hAnsi="宋体" w:eastAsia="宋体" w:cs="宋体"/>
          <w:sz w:val="24"/>
          <w:szCs w:val="24"/>
        </w:rPr>
      </w:pPr>
      <w:r>
        <w:rPr>
          <w:rFonts w:hint="eastAsia" w:ascii="宋体" w:hAnsi="宋体" w:eastAsia="宋体" w:cs="宋体"/>
          <w:sz w:val="24"/>
          <w:szCs w:val="24"/>
          <w:bdr w:val="none" w:color="auto" w:sz="0" w:space="0"/>
        </w:rPr>
        <w:t>Yit​：第i家企业第t年的提质增效综合指数；</w:t>
      </w:r>
    </w:p>
    <w:p w14:paraId="18C92C8E">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360" w:leftChars="0" w:right="0" w:rightChars="0"/>
        <w:jc w:val="both"/>
        <w:textAlignment w:val="auto"/>
        <w:rPr>
          <w:rFonts w:hint="eastAsia" w:ascii="宋体" w:hAnsi="宋体" w:eastAsia="宋体" w:cs="宋体"/>
          <w:sz w:val="24"/>
          <w:szCs w:val="24"/>
        </w:rPr>
      </w:pPr>
      <w:r>
        <w:rPr>
          <w:rFonts w:hint="eastAsia" w:ascii="宋体" w:hAnsi="宋体" w:eastAsia="宋体" w:cs="宋体"/>
          <w:sz w:val="24"/>
          <w:szCs w:val="24"/>
          <w:bdr w:val="none" w:color="auto" w:sz="0" w:space="0"/>
        </w:rPr>
        <w:t>Xit​：核心解释变量，第i家企业第t年的年报 AI 词频对数（AI 关注度）；</w:t>
      </w:r>
    </w:p>
    <w:p w14:paraId="2335230E">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360" w:leftChars="0" w:right="0" w:rightChars="0"/>
        <w:jc w:val="both"/>
        <w:textAlignment w:val="auto"/>
        <w:rPr>
          <w:rFonts w:hint="eastAsia" w:ascii="宋体" w:hAnsi="宋体" w:eastAsia="宋体" w:cs="宋体"/>
          <w:sz w:val="24"/>
          <w:szCs w:val="24"/>
        </w:rPr>
      </w:pPr>
      <w:r>
        <w:rPr>
          <w:rFonts w:hint="eastAsia" w:ascii="宋体" w:hAnsi="宋体" w:eastAsia="宋体" w:cs="宋体"/>
          <w:sz w:val="24"/>
          <w:szCs w:val="24"/>
          <w:bdr w:val="none" w:color="auto" w:sz="0" w:space="0"/>
        </w:rPr>
        <w:t>Controlskit​：第k个企业层面控制变量，包括企业规模（总资产对数）、资产负债率（总负债 / 总资产）、研发强度（研发支出 / 营业收入）、企业年龄（成立年限对数）、营业收入增长率；</w:t>
      </w:r>
    </w:p>
    <w:p w14:paraId="252D1D18">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360" w:leftChars="0" w:right="0" w:rightChars="0"/>
        <w:jc w:val="both"/>
        <w:textAlignment w:val="auto"/>
        <w:rPr>
          <w:rFonts w:hint="eastAsia" w:ascii="宋体" w:hAnsi="宋体" w:eastAsia="宋体" w:cs="宋体"/>
          <w:sz w:val="24"/>
          <w:szCs w:val="24"/>
        </w:rPr>
      </w:pPr>
      <w:r>
        <w:rPr>
          <w:rFonts w:hint="eastAsia" w:ascii="宋体" w:hAnsi="宋体" w:eastAsia="宋体" w:cs="宋体"/>
          <w:sz w:val="24"/>
          <w:szCs w:val="24"/>
          <w:bdr w:val="none" w:color="auto" w:sz="0" w:space="0"/>
        </w:rPr>
        <w:t>λt​：年度固定效应，控制宏观经济环境、产业政策等年度层面的共同冲击；</w:t>
      </w:r>
    </w:p>
    <w:p w14:paraId="0B93FFA3">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360" w:leftChars="0" w:right="0" w:rightChars="0"/>
        <w:jc w:val="both"/>
        <w:textAlignment w:val="auto"/>
        <w:rPr>
          <w:rFonts w:hint="eastAsia" w:ascii="宋体" w:hAnsi="宋体" w:eastAsia="宋体" w:cs="宋体"/>
          <w:sz w:val="24"/>
          <w:szCs w:val="24"/>
        </w:rPr>
      </w:pPr>
      <w:r>
        <w:rPr>
          <w:rFonts w:hint="eastAsia" w:ascii="宋体" w:hAnsi="宋体" w:eastAsia="宋体" w:cs="宋体"/>
          <w:sz w:val="24"/>
          <w:szCs w:val="24"/>
          <w:bdr w:val="none" w:color="auto" w:sz="0" w:space="0"/>
        </w:rPr>
        <w:t>μj​：行业固定效应（按制造业细分行业划分），控制不同行业技术特征、竞争格局等固有差异；</w:t>
      </w:r>
    </w:p>
    <w:p w14:paraId="116A1C22">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360" w:leftChars="0" w:right="0" w:rightChars="0"/>
        <w:jc w:val="both"/>
        <w:textAlignment w:val="auto"/>
        <w:rPr>
          <w:rFonts w:hint="eastAsia" w:ascii="宋体" w:hAnsi="宋体" w:eastAsia="宋体" w:cs="宋体"/>
          <w:sz w:val="24"/>
          <w:szCs w:val="24"/>
        </w:rPr>
      </w:pPr>
      <w:r>
        <w:rPr>
          <w:rFonts w:hint="eastAsia" w:ascii="宋体" w:hAnsi="宋体" w:eastAsia="宋体" w:cs="宋体"/>
          <w:sz w:val="24"/>
          <w:szCs w:val="24"/>
          <w:bdr w:val="none" w:color="auto" w:sz="0" w:space="0"/>
        </w:rPr>
        <w:t>α0​：截距项，α1​为核心解释变量系数（关注其符号、大小与显著性），αk​为控制变量系数；</w:t>
      </w:r>
    </w:p>
    <w:p w14:paraId="4FD921A3">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360" w:leftChars="0" w:right="0" w:rightChars="0"/>
        <w:jc w:val="both"/>
        <w:textAlignment w:val="auto"/>
        <w:rPr>
          <w:rFonts w:hint="eastAsia" w:ascii="宋体" w:hAnsi="宋体" w:eastAsia="宋体" w:cs="宋体"/>
          <w:sz w:val="24"/>
          <w:szCs w:val="24"/>
        </w:rPr>
      </w:pPr>
      <w:r>
        <w:rPr>
          <w:rFonts w:hint="eastAsia" w:ascii="宋体" w:hAnsi="宋体" w:eastAsia="宋体" w:cs="宋体"/>
          <w:sz w:val="24"/>
          <w:szCs w:val="24"/>
          <w:bdr w:val="none" w:color="auto" w:sz="0" w:space="0"/>
        </w:rPr>
        <w:t>εit​：随机误差项，满足零均值、同方差的基本假设，且通过公司层面聚类稳健标准误调整，缓解异方差和序列相关问题。</w:t>
      </w:r>
    </w:p>
    <w:p w14:paraId="58C7476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both"/>
        <w:textAlignment w:val="auto"/>
        <w:rPr>
          <w:rFonts w:hint="eastAsia" w:ascii="宋体" w:hAnsi="宋体" w:eastAsia="宋体" w:cs="宋体"/>
          <w:sz w:val="24"/>
          <w:szCs w:val="24"/>
        </w:rPr>
      </w:pPr>
      <w:r>
        <w:rPr>
          <w:rStyle w:val="23"/>
          <w:rFonts w:hint="eastAsia" w:ascii="宋体" w:hAnsi="宋体" w:eastAsia="宋体" w:cs="宋体"/>
          <w:b/>
          <w:bCs/>
          <w:kern w:val="0"/>
          <w:sz w:val="24"/>
          <w:szCs w:val="24"/>
          <w:bdr w:val="none" w:color="auto" w:sz="0" w:space="0"/>
          <w:lang w:val="en-US" w:eastAsia="zh-CN" w:bidi="ar"/>
          <w14:ligatures w14:val="none"/>
        </w:rPr>
        <w:t>模型假设</w:t>
      </w:r>
      <w:r>
        <w:rPr>
          <w:rFonts w:hint="eastAsia" w:ascii="宋体" w:hAnsi="宋体" w:eastAsia="宋体" w:cs="宋体"/>
          <w:kern w:val="0"/>
          <w:sz w:val="24"/>
          <w:szCs w:val="24"/>
          <w:bdr w:val="none" w:color="auto" w:sz="0" w:space="0"/>
          <w:lang w:val="en-US" w:eastAsia="zh-CN" w:bidi="ar"/>
          <w14:ligatures w14:val="none"/>
        </w:rPr>
        <w:t>：</w:t>
      </w:r>
    </w:p>
    <w:p w14:paraId="60F0E5B5">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360" w:leftChars="0" w:right="0" w:rightChars="0"/>
        <w:jc w:val="both"/>
        <w:textAlignment w:val="auto"/>
        <w:rPr>
          <w:rFonts w:hint="eastAsia" w:ascii="宋体" w:hAnsi="宋体" w:eastAsia="宋体" w:cs="宋体"/>
          <w:sz w:val="24"/>
          <w:szCs w:val="24"/>
        </w:rPr>
      </w:pPr>
      <w:r>
        <w:rPr>
          <w:rFonts w:hint="eastAsia" w:ascii="宋体" w:hAnsi="宋体" w:eastAsia="宋体" w:cs="宋体"/>
          <w:sz w:val="24"/>
          <w:szCs w:val="24"/>
          <w:bdr w:val="none" w:color="auto" w:sz="0" w:space="0"/>
        </w:rPr>
        <w:t>误差项εit​与核心解释变量Xit​、控制变量Controlskit​不相关，即不存在内生性问题（后续扩展模型进一步检验该假设边界）；</w:t>
      </w:r>
    </w:p>
    <w:p w14:paraId="78B21069">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360" w:leftChars="0" w:right="0" w:rightChars="0"/>
        <w:jc w:val="both"/>
        <w:textAlignment w:val="auto"/>
        <w:rPr>
          <w:rFonts w:hint="eastAsia" w:ascii="宋体" w:hAnsi="宋体" w:eastAsia="宋体" w:cs="宋体"/>
          <w:sz w:val="24"/>
          <w:szCs w:val="24"/>
        </w:rPr>
      </w:pPr>
      <w:r>
        <w:rPr>
          <w:rFonts w:hint="eastAsia" w:ascii="宋体" w:hAnsi="宋体" w:eastAsia="宋体" w:cs="宋体"/>
          <w:sz w:val="24"/>
          <w:szCs w:val="24"/>
          <w:bdr w:val="none" w:color="auto" w:sz="0" w:space="0"/>
        </w:rPr>
        <w:t>个体固定效应μj​与解释变量无相关性，符合固定效应模型的适用前提；</w:t>
      </w:r>
    </w:p>
    <w:p w14:paraId="47ED266C">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360" w:leftChars="0" w:right="0" w:rightChars="0"/>
        <w:jc w:val="both"/>
        <w:textAlignment w:val="auto"/>
        <w:rPr>
          <w:rFonts w:hint="eastAsia" w:ascii="宋体" w:hAnsi="宋体" w:eastAsia="宋体" w:cs="宋体"/>
          <w:sz w:val="24"/>
          <w:szCs w:val="24"/>
        </w:rPr>
      </w:pPr>
      <w:r>
        <w:rPr>
          <w:rFonts w:hint="eastAsia" w:ascii="宋体" w:hAnsi="宋体" w:eastAsia="宋体" w:cs="宋体"/>
          <w:sz w:val="24"/>
          <w:szCs w:val="24"/>
          <w:bdr w:val="none" w:color="auto" w:sz="0" w:space="0"/>
        </w:rPr>
        <w:t>核心解释变量与被解释变量的关系在短期内呈现线性特征（非线性模型将检验该假设）。</w:t>
      </w:r>
    </w:p>
    <w:p w14:paraId="3B6F2A8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both"/>
        <w:textAlignment w:val="auto"/>
        <w:rPr>
          <w:rFonts w:hint="eastAsia" w:ascii="宋体" w:hAnsi="宋体" w:eastAsia="宋体" w:cs="宋体"/>
          <w:sz w:val="24"/>
          <w:szCs w:val="24"/>
        </w:rPr>
      </w:pPr>
      <w:bookmarkStart w:id="26" w:name="_Toc20451"/>
      <w:r>
        <w:rPr>
          <w:rFonts w:hint="eastAsia" w:ascii="宋体" w:hAnsi="宋体" w:eastAsia="宋体" w:cs="宋体"/>
          <w:sz w:val="24"/>
          <w:szCs w:val="24"/>
          <w:bdr w:val="none" w:color="auto" w:sz="0" w:space="0"/>
        </w:rPr>
        <w:t>3.3 核心变量测算方法</w:t>
      </w:r>
      <w:bookmarkEnd w:id="26"/>
    </w:p>
    <w:p w14:paraId="2E977A5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both"/>
        <w:textAlignment w:val="auto"/>
        <w:rPr>
          <w:rFonts w:hint="eastAsia" w:ascii="宋体" w:hAnsi="宋体" w:eastAsia="宋体" w:cs="宋体"/>
          <w:sz w:val="24"/>
          <w:szCs w:val="24"/>
        </w:rPr>
      </w:pPr>
      <w:bookmarkStart w:id="27" w:name="_Toc19590"/>
      <w:r>
        <w:rPr>
          <w:rFonts w:hint="eastAsia" w:ascii="宋体" w:hAnsi="宋体" w:eastAsia="宋体" w:cs="宋体"/>
          <w:sz w:val="24"/>
          <w:szCs w:val="24"/>
          <w:bdr w:val="none" w:color="auto" w:sz="0" w:space="0"/>
        </w:rPr>
        <w:t>3.3.1 提质增效指数合成方法</w:t>
      </w:r>
      <w:bookmarkEnd w:id="27"/>
    </w:p>
    <w:p w14:paraId="77C4189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both"/>
        <w:textAlignment w:val="auto"/>
        <w:rPr>
          <w:rFonts w:hint="eastAsia" w:ascii="宋体" w:hAnsi="宋体" w:eastAsia="宋体" w:cs="宋体"/>
          <w:sz w:val="24"/>
          <w:szCs w:val="24"/>
        </w:rPr>
      </w:pPr>
      <w:r>
        <w:rPr>
          <w:rFonts w:hint="eastAsia" w:ascii="宋体" w:hAnsi="宋体" w:eastAsia="宋体" w:cs="宋体"/>
          <w:kern w:val="0"/>
          <w:sz w:val="24"/>
          <w:szCs w:val="24"/>
          <w:bdr w:val="none" w:color="auto" w:sz="0" w:space="0"/>
          <w:lang w:val="en-US" w:eastAsia="zh-CN" w:bidi="ar"/>
          <w14:ligatures w14:val="none"/>
        </w:rPr>
        <w:t>将 “提质” 与 “增效” 拆分为两个维度：</w:t>
      </w:r>
    </w:p>
    <w:p w14:paraId="5207DAB6">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360" w:leftChars="0" w:right="0" w:rightChars="0"/>
        <w:jc w:val="both"/>
        <w:textAlignment w:val="auto"/>
        <w:rPr>
          <w:rFonts w:hint="eastAsia" w:ascii="宋体" w:hAnsi="宋体" w:eastAsia="宋体" w:cs="宋体"/>
          <w:sz w:val="24"/>
          <w:szCs w:val="24"/>
        </w:rPr>
      </w:pPr>
      <w:r>
        <w:rPr>
          <w:rFonts w:hint="eastAsia" w:ascii="宋体" w:hAnsi="宋体" w:eastAsia="宋体" w:cs="宋体"/>
          <w:sz w:val="24"/>
          <w:szCs w:val="24"/>
          <w:bdr w:val="none" w:color="auto" w:sz="0" w:space="0"/>
        </w:rPr>
        <w:t>质量维度：选取总资产净利润率（ROA）、营业利润率、自构造全要素生产率（TFP）；</w:t>
      </w:r>
    </w:p>
    <w:p w14:paraId="0693F052">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360" w:leftChars="0" w:right="0" w:rightChars="0"/>
        <w:jc w:val="both"/>
        <w:textAlignment w:val="auto"/>
        <w:rPr>
          <w:rFonts w:hint="eastAsia" w:ascii="宋体" w:hAnsi="宋体" w:eastAsia="宋体" w:cs="宋体"/>
          <w:sz w:val="24"/>
          <w:szCs w:val="24"/>
        </w:rPr>
      </w:pPr>
      <w:r>
        <w:rPr>
          <w:rFonts w:hint="eastAsia" w:ascii="宋体" w:hAnsi="宋体" w:eastAsia="宋体" w:cs="宋体"/>
          <w:sz w:val="24"/>
          <w:szCs w:val="24"/>
          <w:bdr w:val="none" w:color="auto" w:sz="0" w:space="0"/>
        </w:rPr>
        <w:t>效率维度：选取总资产周转率、劳动生产率对数（营业收入 / 员工人数取自然对数）。</w:t>
      </w:r>
    </w:p>
    <w:p w14:paraId="274363C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both"/>
        <w:textAlignment w:val="auto"/>
        <w:rPr>
          <w:rFonts w:hint="eastAsia" w:ascii="宋体" w:hAnsi="宋体" w:eastAsia="宋体" w:cs="宋体"/>
          <w:sz w:val="24"/>
          <w:szCs w:val="24"/>
        </w:rPr>
      </w:pPr>
      <w:r>
        <w:rPr>
          <w:rFonts w:hint="eastAsia" w:ascii="宋体" w:hAnsi="宋体" w:eastAsia="宋体" w:cs="宋体"/>
          <w:kern w:val="0"/>
          <w:sz w:val="24"/>
          <w:szCs w:val="24"/>
          <w:bdr w:val="none" w:color="auto" w:sz="0" w:space="0"/>
          <w:lang w:val="en-US" w:eastAsia="zh-CN" w:bidi="ar"/>
          <w14:ligatures w14:val="none"/>
        </w:rPr>
        <w:t>合成步骤：</w:t>
      </w:r>
    </w:p>
    <w:p w14:paraId="4B99B4ED">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360" w:leftChars="0" w:right="0" w:rightChars="0"/>
        <w:jc w:val="both"/>
        <w:textAlignment w:val="auto"/>
        <w:rPr>
          <w:rFonts w:hint="eastAsia" w:ascii="宋体" w:hAnsi="宋体" w:eastAsia="宋体" w:cs="宋体"/>
          <w:sz w:val="24"/>
          <w:szCs w:val="24"/>
        </w:rPr>
      </w:pPr>
      <w:r>
        <w:rPr>
          <w:rFonts w:hint="eastAsia" w:ascii="宋体" w:hAnsi="宋体" w:eastAsia="宋体" w:cs="宋体"/>
          <w:sz w:val="24"/>
          <w:szCs w:val="24"/>
          <w:bdr w:val="none" w:color="auto" w:sz="0" w:space="0"/>
        </w:rPr>
        <w:t>对各基础指标进行标准化处理（Z-score 法），消除量纲差异，公式为：Zij​=(Xij​−Xˉj​)/σj​（Xij​为第i企业第j个指标值，Xˉj​为指标均值，σj​为标准差）；</w:t>
      </w:r>
    </w:p>
    <w:p w14:paraId="55347686">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360" w:leftChars="0" w:right="0" w:rightChars="0"/>
        <w:jc w:val="both"/>
        <w:textAlignment w:val="auto"/>
        <w:rPr>
          <w:rFonts w:hint="eastAsia" w:ascii="宋体" w:hAnsi="宋体" w:eastAsia="宋体" w:cs="宋体"/>
          <w:sz w:val="24"/>
          <w:szCs w:val="24"/>
        </w:rPr>
      </w:pPr>
      <w:r>
        <w:rPr>
          <w:rFonts w:hint="eastAsia" w:ascii="宋体" w:hAnsi="宋体" w:eastAsia="宋体" w:cs="宋体"/>
          <w:sz w:val="24"/>
          <w:szCs w:val="24"/>
          <w:bdr w:val="none" w:color="auto" w:sz="0" w:space="0"/>
        </w:rPr>
        <w:t>分别将质量维度、效率维度的标准化指标等权加总，得到质量子指数和效率子指数；</w:t>
      </w:r>
    </w:p>
    <w:p w14:paraId="3B1E635D">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360" w:leftChars="0" w:right="0" w:rightChars="0"/>
        <w:jc w:val="both"/>
        <w:textAlignment w:val="auto"/>
        <w:rPr>
          <w:rFonts w:hint="eastAsia" w:ascii="宋体" w:hAnsi="宋体" w:eastAsia="宋体" w:cs="宋体"/>
          <w:sz w:val="24"/>
          <w:szCs w:val="24"/>
        </w:rPr>
      </w:pPr>
      <w:r>
        <w:rPr>
          <w:rFonts w:hint="eastAsia" w:ascii="宋体" w:hAnsi="宋体" w:eastAsia="宋体" w:cs="宋体"/>
          <w:sz w:val="24"/>
          <w:szCs w:val="24"/>
          <w:bdr w:val="none" w:color="auto" w:sz="0" w:space="0"/>
        </w:rPr>
        <w:t>将质量子指数与效率子指数等权合成，得到提质增效综合指数。</w:t>
      </w:r>
    </w:p>
    <w:p w14:paraId="77CAC84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both"/>
        <w:textAlignment w:val="auto"/>
        <w:rPr>
          <w:rFonts w:hint="eastAsia" w:ascii="宋体" w:hAnsi="宋体" w:eastAsia="宋体" w:cs="宋体"/>
          <w:sz w:val="24"/>
          <w:szCs w:val="24"/>
        </w:rPr>
      </w:pPr>
      <w:bookmarkStart w:id="28" w:name="_Toc18173"/>
      <w:r>
        <w:rPr>
          <w:rFonts w:hint="eastAsia" w:ascii="宋体" w:hAnsi="宋体" w:eastAsia="宋体" w:cs="宋体"/>
          <w:sz w:val="24"/>
          <w:szCs w:val="24"/>
          <w:bdr w:val="none" w:color="auto" w:sz="0" w:space="0"/>
        </w:rPr>
        <w:t>3.3.2 LP 法 TFP 测算原理</w:t>
      </w:r>
      <w:bookmarkEnd w:id="28"/>
    </w:p>
    <w:p w14:paraId="63DA680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both"/>
        <w:textAlignment w:val="auto"/>
        <w:rPr>
          <w:rFonts w:hint="eastAsia" w:ascii="宋体" w:hAnsi="宋体" w:eastAsia="宋体" w:cs="宋体"/>
          <w:sz w:val="24"/>
          <w:szCs w:val="24"/>
        </w:rPr>
      </w:pPr>
      <w:r>
        <w:rPr>
          <w:rFonts w:hint="eastAsia" w:ascii="宋体" w:hAnsi="宋体" w:eastAsia="宋体" w:cs="宋体"/>
          <w:kern w:val="0"/>
          <w:sz w:val="24"/>
          <w:szCs w:val="24"/>
          <w:bdr w:val="none" w:color="auto" w:sz="0" w:space="0"/>
          <w:lang w:val="en-US" w:eastAsia="zh-CN" w:bidi="ar"/>
          <w14:ligatures w14:val="none"/>
        </w:rPr>
        <w:t>采用 Levinsohn-Petrin（LP）法测算企业 TFP，核心是解决传统 OLS 法中投入变量与生产率冲击的内生性问题：</w:t>
      </w:r>
    </w:p>
    <w:p w14:paraId="26EAEEE2">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360" w:leftChars="0" w:right="0" w:rightChars="0"/>
        <w:jc w:val="both"/>
        <w:textAlignment w:val="auto"/>
        <w:rPr>
          <w:rFonts w:hint="eastAsia" w:ascii="宋体" w:hAnsi="宋体" w:eastAsia="宋体" w:cs="宋体"/>
          <w:sz w:val="24"/>
          <w:szCs w:val="24"/>
        </w:rPr>
      </w:pPr>
      <w:r>
        <w:rPr>
          <w:rFonts w:hint="eastAsia" w:ascii="宋体" w:hAnsi="宋体" w:eastAsia="宋体" w:cs="宋体"/>
          <w:sz w:val="24"/>
          <w:szCs w:val="24"/>
          <w:bdr w:val="none" w:color="auto" w:sz="0" w:space="0"/>
        </w:rPr>
        <w:t>生产函数设定：选取柯布 - 道格拉斯生产函数Yit​=Ait​Kitβk​​Litβl​​Mitβm​​，其中Yit​为企业营业收入（以工业生产者价格指数平减），Kit​为固定资产净额（以固定资产投资价格指数平减），Lit​为员工人数，Mit​为中间投入（以原材料价格指数平减），Ait​为全要素生产率；</w:t>
      </w:r>
    </w:p>
    <w:p w14:paraId="266B804F">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360" w:leftChars="0" w:right="0" w:rightChars="0"/>
        <w:jc w:val="both"/>
        <w:textAlignment w:val="auto"/>
        <w:rPr>
          <w:rFonts w:hint="eastAsia" w:ascii="宋体" w:hAnsi="宋体" w:eastAsia="宋体" w:cs="宋体"/>
          <w:sz w:val="24"/>
          <w:szCs w:val="24"/>
        </w:rPr>
      </w:pPr>
      <w:r>
        <w:rPr>
          <w:rFonts w:hint="eastAsia" w:ascii="宋体" w:hAnsi="宋体" w:eastAsia="宋体" w:cs="宋体"/>
          <w:sz w:val="24"/>
          <w:szCs w:val="24"/>
          <w:bdr w:val="none" w:color="auto" w:sz="0" w:space="0"/>
        </w:rPr>
        <w:t>内生性处理：以中间投入Mit​作为不可观测生产率冲击的代理变量，将生产函数分为可观测部分和不可观测部分，通过半参数估计方法分步估计资本、劳动、中间投入的系数；</w:t>
      </w:r>
    </w:p>
    <w:p w14:paraId="305BA6B8">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360" w:leftChars="0" w:right="0" w:rightChars="0"/>
        <w:jc w:val="both"/>
        <w:textAlignment w:val="auto"/>
        <w:rPr>
          <w:rFonts w:hint="eastAsia" w:ascii="宋体" w:hAnsi="宋体" w:eastAsia="宋体" w:cs="宋体"/>
          <w:sz w:val="24"/>
          <w:szCs w:val="24"/>
        </w:rPr>
      </w:pPr>
      <w:r>
        <w:rPr>
          <w:rFonts w:hint="eastAsia" w:ascii="宋体" w:hAnsi="宋体" w:eastAsia="宋体" w:cs="宋体"/>
          <w:sz w:val="24"/>
          <w:szCs w:val="24"/>
          <w:bdr w:val="none" w:color="auto" w:sz="0" w:space="0"/>
        </w:rPr>
        <w:t>计算 TFP：将估计得到的系数代入生产函数，取残差的对数值作为 TFP，即TFPit​=lnYit​−β^​k​lnKit​−β^​l​lnLit​−β^​m​lnMit​。</w:t>
      </w:r>
    </w:p>
    <w:p w14:paraId="5C7E248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both"/>
        <w:textAlignment w:val="auto"/>
        <w:rPr>
          <w:rFonts w:hint="eastAsia" w:ascii="宋体" w:hAnsi="宋体" w:eastAsia="宋体" w:cs="宋体"/>
          <w:sz w:val="24"/>
          <w:szCs w:val="24"/>
        </w:rPr>
      </w:pPr>
      <w:bookmarkStart w:id="29" w:name="_Toc10343"/>
      <w:r>
        <w:rPr>
          <w:rFonts w:hint="eastAsia" w:ascii="宋体" w:hAnsi="宋体" w:eastAsia="宋体" w:cs="宋体"/>
          <w:sz w:val="24"/>
          <w:szCs w:val="24"/>
          <w:bdr w:val="none" w:color="auto" w:sz="0" w:space="0"/>
        </w:rPr>
        <w:t>3.3.3 AI 关注度词频构建规则</w:t>
      </w:r>
      <w:bookmarkEnd w:id="29"/>
    </w:p>
    <w:p w14:paraId="63250D16">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360" w:leftChars="0" w:right="0" w:rightChars="0"/>
        <w:jc w:val="both"/>
        <w:textAlignment w:val="auto"/>
        <w:rPr>
          <w:rFonts w:hint="eastAsia" w:ascii="宋体" w:hAnsi="宋体" w:eastAsia="宋体" w:cs="宋体"/>
          <w:sz w:val="24"/>
          <w:szCs w:val="24"/>
        </w:rPr>
      </w:pPr>
      <w:r>
        <w:rPr>
          <w:rFonts w:hint="eastAsia" w:ascii="宋体" w:hAnsi="宋体" w:eastAsia="宋体" w:cs="宋体"/>
          <w:sz w:val="24"/>
          <w:szCs w:val="24"/>
          <w:bdr w:val="none" w:color="auto" w:sz="0" w:space="0"/>
        </w:rPr>
        <w:t>词频筛选：基于人工智能领域权威词典和上市公司年报文本特征，构建 AI 关键词库（包括 “人工智能”“机器学习”“大数据”“算法” 等核心词汇）；</w:t>
      </w:r>
    </w:p>
    <w:p w14:paraId="52EF6055">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360" w:leftChars="0" w:right="0" w:rightChars="0"/>
        <w:jc w:val="both"/>
        <w:textAlignment w:val="auto"/>
        <w:rPr>
          <w:rFonts w:hint="eastAsia" w:ascii="宋体" w:hAnsi="宋体" w:eastAsia="宋体" w:cs="宋体"/>
          <w:sz w:val="24"/>
          <w:szCs w:val="24"/>
        </w:rPr>
      </w:pPr>
      <w:r>
        <w:rPr>
          <w:rFonts w:hint="eastAsia" w:ascii="宋体" w:hAnsi="宋体" w:eastAsia="宋体" w:cs="宋体"/>
          <w:sz w:val="24"/>
          <w:szCs w:val="24"/>
          <w:bdr w:val="none" w:color="auto" w:sz="0" w:space="0"/>
        </w:rPr>
        <w:t>词频统计：采用文本挖掘技术对年报全文进行分词，统计每家企业每年年报中 AI 关键词的总出现次数；</w:t>
      </w:r>
    </w:p>
    <w:p w14:paraId="1E248916">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360" w:leftChars="0" w:right="0" w:rightChars="0"/>
        <w:jc w:val="both"/>
        <w:textAlignment w:val="auto"/>
        <w:rPr>
          <w:rFonts w:hint="eastAsia" w:ascii="宋体" w:hAnsi="宋体" w:eastAsia="宋体" w:cs="宋体"/>
          <w:sz w:val="24"/>
          <w:szCs w:val="24"/>
        </w:rPr>
      </w:pPr>
      <w:r>
        <w:rPr>
          <w:rFonts w:hint="eastAsia" w:ascii="宋体" w:hAnsi="宋体" w:eastAsia="宋体" w:cs="宋体"/>
          <w:sz w:val="24"/>
          <w:szCs w:val="24"/>
          <w:bdr w:val="none" w:color="auto" w:sz="0" w:space="0"/>
        </w:rPr>
        <w:t>对数处理：为缓解词频分布的偏态性，对词频加 1 后取自然对数，即Xit​=ln(WordFreqit​+1)，其中WordFreqit​为第i企业第t年年报 AI 关键词原始词频。</w:t>
      </w:r>
    </w:p>
    <w:p w14:paraId="1B1D81D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both"/>
        <w:textAlignment w:val="auto"/>
        <w:rPr>
          <w:rFonts w:hint="eastAsia" w:ascii="宋体" w:hAnsi="宋体" w:eastAsia="宋体" w:cs="宋体"/>
          <w:sz w:val="24"/>
          <w:szCs w:val="24"/>
        </w:rPr>
      </w:pPr>
      <w:bookmarkStart w:id="30" w:name="_Toc27622"/>
      <w:r>
        <w:rPr>
          <w:rFonts w:hint="eastAsia" w:ascii="宋体" w:hAnsi="宋体" w:eastAsia="宋体" w:cs="宋体"/>
          <w:sz w:val="24"/>
          <w:szCs w:val="24"/>
          <w:bdr w:val="none" w:color="auto" w:sz="0" w:space="0"/>
        </w:rPr>
        <w:t>3.4 扩展模型设计</w:t>
      </w:r>
      <w:bookmarkEnd w:id="30"/>
    </w:p>
    <w:p w14:paraId="48CB303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both"/>
        <w:textAlignment w:val="auto"/>
        <w:rPr>
          <w:rFonts w:hint="eastAsia" w:ascii="宋体" w:hAnsi="宋体" w:eastAsia="宋体" w:cs="宋体"/>
          <w:sz w:val="24"/>
          <w:szCs w:val="24"/>
        </w:rPr>
      </w:pPr>
      <w:bookmarkStart w:id="31" w:name="_Toc7073"/>
      <w:r>
        <w:rPr>
          <w:rFonts w:hint="eastAsia" w:ascii="宋体" w:hAnsi="宋体" w:eastAsia="宋体" w:cs="宋体"/>
          <w:sz w:val="24"/>
          <w:szCs w:val="24"/>
          <w:bdr w:val="none" w:color="auto" w:sz="0" w:space="0"/>
        </w:rPr>
        <w:t>3.4.1 分位数固定效应模型</w:t>
      </w:r>
      <w:bookmarkEnd w:id="31"/>
    </w:p>
    <w:p w14:paraId="57FD875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both"/>
        <w:textAlignment w:val="auto"/>
        <w:rPr>
          <w:rFonts w:hint="eastAsia" w:ascii="宋体" w:hAnsi="宋体" w:eastAsia="宋体" w:cs="宋体"/>
          <w:sz w:val="24"/>
          <w:szCs w:val="24"/>
        </w:rPr>
      </w:pPr>
      <w:r>
        <w:rPr>
          <w:rFonts w:hint="eastAsia" w:ascii="宋体" w:hAnsi="宋体" w:eastAsia="宋体" w:cs="宋体"/>
          <w:kern w:val="0"/>
          <w:sz w:val="24"/>
          <w:szCs w:val="24"/>
          <w:bdr w:val="none" w:color="auto" w:sz="0" w:space="0"/>
          <w:lang w:val="en-US" w:eastAsia="zh-CN" w:bidi="ar"/>
          <w14:ligatures w14:val="none"/>
        </w:rPr>
        <w:t>用于检验 AI 关注度在不同提质增效水平企业中的作用差异，模型设定：Qτ​(Yit​∣Xit​,Controlskit​,λt​,μj​)=α0τ​+α1τ​Xit​+∑k=2n​αkτ​Controlskit​+λtτ​+μjτ​其中Qτ​(⋅)为τ分位数（选取 0.25、0.5、0.75 分位数），α1τ​为不同分位数下 AI 关注度的系数，用于判断 AI 对低 / 中 / 高提质增效企业的影响差异。</w:t>
      </w:r>
    </w:p>
    <w:p w14:paraId="15BBE37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both"/>
        <w:textAlignment w:val="auto"/>
        <w:rPr>
          <w:rFonts w:hint="eastAsia" w:ascii="宋体" w:hAnsi="宋体" w:eastAsia="宋体" w:cs="宋体"/>
          <w:sz w:val="24"/>
          <w:szCs w:val="24"/>
        </w:rPr>
      </w:pPr>
      <w:bookmarkStart w:id="32" w:name="_Toc18812"/>
      <w:r>
        <w:rPr>
          <w:rFonts w:hint="eastAsia" w:ascii="宋体" w:hAnsi="宋体" w:eastAsia="宋体" w:cs="宋体"/>
          <w:sz w:val="24"/>
          <w:szCs w:val="24"/>
          <w:bdr w:val="none" w:color="auto" w:sz="0" w:space="0"/>
        </w:rPr>
        <w:t>3.4.2 非线性固定效应模型</w:t>
      </w:r>
      <w:bookmarkEnd w:id="32"/>
    </w:p>
    <w:p w14:paraId="61BA642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both"/>
        <w:textAlignment w:val="auto"/>
        <w:rPr>
          <w:rFonts w:hint="eastAsia" w:ascii="宋体" w:hAnsi="宋体" w:eastAsia="宋体" w:cs="宋体"/>
          <w:sz w:val="24"/>
          <w:szCs w:val="24"/>
        </w:rPr>
      </w:pPr>
      <w:r>
        <w:rPr>
          <w:rFonts w:hint="eastAsia" w:ascii="宋体" w:hAnsi="宋体" w:eastAsia="宋体" w:cs="宋体"/>
          <w:kern w:val="0"/>
          <w:sz w:val="24"/>
          <w:szCs w:val="24"/>
          <w:bdr w:val="none" w:color="auto" w:sz="0" w:space="0"/>
          <w:lang w:val="en-US" w:eastAsia="zh-CN" w:bidi="ar"/>
          <w14:ligatures w14:val="none"/>
        </w:rPr>
        <w:t>检验 AI 关注度是否存在边际递减或倒 U 型关系，引入 AI 关注度的二次项：Yit​=α0​+α1​Xit​+α2​Xit2​+∑k=3n​αk​Controlskit​+λt​+μj​+εit​若α2​显著为负，说明 AI 关注度与提质增效呈倒 U 型关系；若α2​显著为正，说明存在边际递增效应。</w:t>
      </w:r>
    </w:p>
    <w:p w14:paraId="696AEED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both"/>
        <w:textAlignment w:val="auto"/>
        <w:rPr>
          <w:rFonts w:hint="eastAsia" w:ascii="宋体" w:hAnsi="宋体" w:eastAsia="宋体" w:cs="宋体"/>
          <w:sz w:val="24"/>
          <w:szCs w:val="24"/>
        </w:rPr>
      </w:pPr>
      <w:bookmarkStart w:id="33" w:name="_Toc17851"/>
      <w:r>
        <w:rPr>
          <w:rFonts w:hint="eastAsia" w:ascii="宋体" w:hAnsi="宋体" w:eastAsia="宋体" w:cs="宋体"/>
          <w:sz w:val="24"/>
          <w:szCs w:val="24"/>
          <w:bdr w:val="none" w:color="auto" w:sz="0" w:space="0"/>
        </w:rPr>
        <w:t>3.4.3 交叉拟合部分线性模型</w:t>
      </w:r>
      <w:bookmarkEnd w:id="33"/>
    </w:p>
    <w:p w14:paraId="7614EE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both"/>
        <w:textAlignment w:val="auto"/>
        <w:rPr>
          <w:rFonts w:hint="eastAsia" w:ascii="宋体" w:hAnsi="宋体" w:eastAsia="宋体" w:cs="宋体"/>
          <w:sz w:val="24"/>
          <w:szCs w:val="24"/>
        </w:rPr>
      </w:pPr>
      <w:r>
        <w:rPr>
          <w:rFonts w:hint="eastAsia" w:ascii="宋体" w:hAnsi="宋体" w:eastAsia="宋体" w:cs="宋体"/>
          <w:kern w:val="0"/>
          <w:sz w:val="24"/>
          <w:szCs w:val="24"/>
          <w:bdr w:val="none" w:color="auto" w:sz="0" w:space="0"/>
          <w:lang w:val="en-US" w:eastAsia="zh-CN" w:bidi="ar"/>
          <w14:ligatures w14:val="none"/>
        </w:rPr>
        <w:t>采用机器学习方法净化控制变量、年份和行业的非线性影响，模型分解为：Yit​=Xit​β+g(Controlsit​,λt​,μj​)+εit​其中g(⋅)为非参数函数，通过交叉拟合方法估计g(⋅)以剥离控制变量、年度和行业的非线性影响，再估计核心系数β，检验主结论是否依赖传统线性控制设定。</w:t>
      </w:r>
    </w:p>
    <w:p w14:paraId="600D2F8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both"/>
        <w:textAlignment w:val="auto"/>
        <w:rPr>
          <w:rFonts w:hint="eastAsia" w:ascii="宋体" w:hAnsi="宋体" w:eastAsia="宋体" w:cs="宋体"/>
          <w:sz w:val="24"/>
          <w:szCs w:val="24"/>
        </w:rPr>
      </w:pPr>
      <w:bookmarkStart w:id="34" w:name="_Toc18621"/>
      <w:r>
        <w:rPr>
          <w:rFonts w:hint="eastAsia" w:ascii="宋体" w:hAnsi="宋体" w:eastAsia="宋体" w:cs="宋体"/>
          <w:sz w:val="24"/>
          <w:szCs w:val="24"/>
          <w:bdr w:val="none" w:color="auto" w:sz="0" w:space="0"/>
        </w:rPr>
        <w:t>3.4.4 DID 因果边界检验模型</w:t>
      </w:r>
      <w:bookmarkEnd w:id="34"/>
    </w:p>
    <w:p w14:paraId="1CCFFC6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both"/>
        <w:textAlignment w:val="auto"/>
        <w:rPr>
          <w:rFonts w:hint="eastAsia" w:ascii="宋体" w:hAnsi="宋体" w:eastAsia="宋体" w:cs="宋体"/>
          <w:sz w:val="24"/>
          <w:szCs w:val="24"/>
        </w:rPr>
      </w:pPr>
      <w:r>
        <w:rPr>
          <w:rFonts w:hint="eastAsia" w:ascii="宋体" w:hAnsi="宋体" w:eastAsia="宋体" w:cs="宋体"/>
          <w:kern w:val="0"/>
          <w:sz w:val="24"/>
          <w:szCs w:val="24"/>
          <w:bdr w:val="none" w:color="auto" w:sz="0" w:space="0"/>
          <w:lang w:val="en-US" w:eastAsia="zh-CN" w:bidi="ar"/>
          <w14:ligatures w14:val="none"/>
        </w:rPr>
        <w:t>为进一步探索因果关系边界，选取 “AI 相关产业政策出台” 作为准自然实验，构建双重差分模型：Yit​=α0​+α1​Treati​×Postt​+∑k=2n​αk​Controlskit​+λt​+μj​+εit​其中Treati​为处理组虚拟变量（政策受益行业企业取 1，否则取 0），Postt​为政策实施后虚拟变量（政策实施年份及之后取 1，否则取 0），α1​为 DID 估计系数，用于检验政策冲击下 AI 关注度提升是否显著推动提质增效，为因果关系提供补充证据。</w:t>
      </w:r>
    </w:p>
    <w:p w14:paraId="392E3E04">
      <w:pPr>
        <w:pStyle w:val="53"/>
        <w:bidi w:val="0"/>
        <w:outlineLvl w:val="0"/>
        <w:rPr>
          <w:rFonts w:hint="default"/>
          <w:lang w:val="en-US"/>
        </w:rPr>
      </w:pPr>
      <w:bookmarkStart w:id="35" w:name="_Toc31979"/>
      <w:r>
        <w:rPr>
          <w:rFonts w:hint="eastAsia"/>
        </w:rPr>
        <w:t>实证结果</w:t>
      </w:r>
      <w:r>
        <w:rPr>
          <w:rFonts w:hint="eastAsia"/>
          <w:lang w:val="en-US" w:eastAsia="zh-CN"/>
        </w:rPr>
        <w:t>说明</w:t>
      </w:r>
      <w:bookmarkEnd w:id="35"/>
    </w:p>
    <w:p w14:paraId="53751091">
      <w:pPr>
        <w:pStyle w:val="52"/>
        <w:bidi w:val="0"/>
        <w:outlineLvl w:val="1"/>
        <w:rPr>
          <w:rFonts w:hint="eastAsia"/>
        </w:rPr>
      </w:pPr>
      <w:bookmarkStart w:id="36" w:name="_Toc31600"/>
      <w:r>
        <w:rPr>
          <w:rFonts w:hint="eastAsia"/>
        </w:rPr>
        <w:t>（一）基准回归结果</w:t>
      </w:r>
      <w:bookmarkEnd w:id="36"/>
    </w:p>
    <w:p w14:paraId="4E09606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default"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为检验人工智能应用对制造业企业提质增效的核心影响，本文构建双向固定效应基准模型，控制行业与年度固定效应及企业层面控制变量，基准回归结果如表</w:t>
      </w:r>
      <w:r>
        <w:rPr>
          <w:rFonts w:hint="eastAsia" w:ascii="宋体" w:hAnsi="宋体" w:cs="宋体"/>
          <w:kern w:val="0"/>
          <w:sz w:val="24"/>
          <w:szCs w:val="24"/>
          <w:bdr w:val="none" w:color="auto" w:sz="0" w:space="0"/>
          <w:lang w:val="en-US" w:eastAsia="zh-CN" w:bidi="ar"/>
          <w14:ligatures w14:val="none"/>
        </w:rPr>
        <w:t>7</w:t>
      </w:r>
    </w:p>
    <w:p w14:paraId="1582A20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核心解释变量 “人工智能应用指数（ai_application_index）” 回归系数为 - 0.082，稳健标准误为 0.021，p 值小于 0.01，在 1% 水平上显著为负，表明人工智能文本关注与概念化披露对企业提质增效存在显著抑制作用。从样本规模看，基准模型有效观测数为 28941 个，覆盖 3843 家制造业企业，样本代表性良好；模型拟合优度 R² 为 0.315，调整后 R² 为 0.298，说明模型整体解释力符合微观企业实证研究常规水平，变量选取与设定具备合理性。</w:t>
      </w:r>
    </w:p>
    <w:p w14:paraId="1B59322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控制变量层面，企业规模（ln_assets）系数 0.125（p&lt;0.01），表明企业规模扩张显著促进提质增效；资产负债率（leverage）系数 - 0.053（p&lt;0.05），验证高负债经营对高质量发展的约束作用；研发强度（rd_intensity）系数 0.038（p&lt;0.01），符合研发投入赋能质量提升的理论预期，各控制变量符号与显著性均贴合经济逻辑。</w:t>
      </w:r>
    </w:p>
    <w:p w14:paraId="1FA0BB1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center"/>
        <w:textAlignment w:val="auto"/>
        <w:rPr>
          <w:rFonts w:ascii="Segoe UI Emoji" w:hAnsi="Segoe UI Emoji" w:eastAsia="Segoe UI Emoji" w:cs="Segoe UI Emoji"/>
          <w:i w:val="0"/>
          <w:iCs w:val="0"/>
          <w:caps w:val="0"/>
          <w:spacing w:val="0"/>
          <w:sz w:val="16"/>
          <w:szCs w:val="16"/>
        </w:rPr>
      </w:pPr>
      <w:r>
        <w:rPr>
          <w:rFonts w:hint="eastAsia" w:ascii="宋体" w:hAnsi="宋体" w:eastAsia="宋体" w:cs="宋体"/>
          <w:i w:val="0"/>
          <w:iCs w:val="0"/>
          <w:caps w:val="0"/>
          <w:spacing w:val="0"/>
          <w:sz w:val="24"/>
          <w:szCs w:val="24"/>
        </w:rPr>
        <w:t>表7 基准回归与核心稳健性检验结果</w:t>
      </w:r>
    </w:p>
    <w:tbl>
      <w:tblPr>
        <w:tblStyle w:val="21"/>
        <w:tblW w:w="86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773"/>
        <w:gridCol w:w="1828"/>
        <w:gridCol w:w="893"/>
        <w:gridCol w:w="1007"/>
        <w:gridCol w:w="950"/>
        <w:gridCol w:w="1015"/>
        <w:gridCol w:w="1135"/>
      </w:tblGrid>
      <w:tr w14:paraId="1D532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3" w:type="dxa"/>
            <w:tcBorders>
              <w:top w:val="single" w:color="000000" w:themeColor="dark1" w:sz="12" w:space="0"/>
              <w:left w:val="nil"/>
              <w:bottom w:val="single" w:color="000000" w:themeColor="dark1" w:sz="6" w:space="0"/>
              <w:right w:val="nil"/>
            </w:tcBorders>
            <w:shd w:val="clear" w:color="auto" w:fill="FFFFFF"/>
            <w:vAlign w:val="center"/>
          </w:tcPr>
          <w:p w14:paraId="0D309F5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i w:val="0"/>
                <w:color w:val="000000" w:themeColor="dark1"/>
                <w:sz w:val="21"/>
                <w:szCs w:val="21"/>
                <w14:textFill>
                  <w14:solidFill>
                    <w14:schemeClr w14:val="dk1"/>
                  </w14:solidFill>
                </w14:textFill>
              </w:rPr>
            </w:pPr>
            <w:r>
              <w:rPr>
                <w:rFonts w:hint="eastAsia" w:ascii="宋体" w:hAnsi="宋体" w:eastAsia="宋体" w:cs="宋体"/>
                <w:b/>
                <w:i w:val="0"/>
                <w:iCs w:val="0"/>
                <w:caps w:val="0"/>
                <w:color w:val="000000" w:themeColor="dark1"/>
                <w:spacing w:val="0"/>
                <w:sz w:val="21"/>
                <w:szCs w:val="21"/>
                <w14:textFill>
                  <w14:solidFill>
                    <w14:schemeClr w14:val="dk1"/>
                  </w14:solidFill>
                </w14:textFill>
              </w:rPr>
              <w:t>模型类型</w:t>
            </w:r>
          </w:p>
        </w:tc>
        <w:tc>
          <w:tcPr>
            <w:tcW w:w="1828" w:type="dxa"/>
            <w:tcBorders>
              <w:top w:val="single" w:color="000000" w:themeColor="dark1" w:sz="12" w:space="0"/>
              <w:left w:val="nil"/>
              <w:bottom w:val="single" w:color="000000" w:themeColor="dark1" w:sz="6" w:space="0"/>
              <w:right w:val="nil"/>
            </w:tcBorders>
            <w:shd w:val="clear" w:color="auto" w:fill="FFFFFF"/>
            <w:vAlign w:val="center"/>
          </w:tcPr>
          <w:p w14:paraId="23FB60D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i w:val="0"/>
                <w:color w:val="000000" w:themeColor="dark1"/>
                <w:sz w:val="21"/>
                <w:szCs w:val="21"/>
                <w14:textFill>
                  <w14:solidFill>
                    <w14:schemeClr w14:val="dk1"/>
                  </w14:solidFill>
                </w14:textFill>
              </w:rPr>
            </w:pPr>
            <w:r>
              <w:rPr>
                <w:rFonts w:hint="eastAsia" w:ascii="宋体" w:hAnsi="宋体" w:eastAsia="宋体" w:cs="宋体"/>
                <w:b/>
                <w:i w:val="0"/>
                <w:iCs w:val="0"/>
                <w:caps w:val="0"/>
                <w:color w:val="000000" w:themeColor="dark1"/>
                <w:spacing w:val="0"/>
                <w:sz w:val="21"/>
                <w:szCs w:val="21"/>
                <w14:textFill>
                  <w14:solidFill>
                    <w14:schemeClr w14:val="dk1"/>
                  </w14:solidFill>
                </w14:textFill>
              </w:rPr>
              <w:t>核心解释变量</w:t>
            </w:r>
          </w:p>
        </w:tc>
        <w:tc>
          <w:tcPr>
            <w:tcW w:w="893" w:type="dxa"/>
            <w:tcBorders>
              <w:top w:val="single" w:color="000000" w:themeColor="dark1" w:sz="12" w:space="0"/>
              <w:left w:val="nil"/>
              <w:bottom w:val="single" w:color="000000" w:themeColor="dark1" w:sz="6" w:space="0"/>
              <w:right w:val="nil"/>
            </w:tcBorders>
            <w:shd w:val="clear" w:color="auto" w:fill="FFFFFF"/>
            <w:vAlign w:val="center"/>
          </w:tcPr>
          <w:p w14:paraId="242145D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i w:val="0"/>
                <w:color w:val="000000" w:themeColor="dark1"/>
                <w:sz w:val="21"/>
                <w:szCs w:val="21"/>
                <w14:textFill>
                  <w14:solidFill>
                    <w14:schemeClr w14:val="dk1"/>
                  </w14:solidFill>
                </w14:textFill>
              </w:rPr>
            </w:pPr>
            <w:r>
              <w:rPr>
                <w:rFonts w:hint="eastAsia" w:ascii="宋体" w:hAnsi="宋体" w:eastAsia="宋体" w:cs="宋体"/>
                <w:b/>
                <w:i w:val="0"/>
                <w:iCs w:val="0"/>
                <w:caps w:val="0"/>
                <w:color w:val="000000" w:themeColor="dark1"/>
                <w:spacing w:val="0"/>
                <w:sz w:val="21"/>
                <w:szCs w:val="21"/>
                <w14:textFill>
                  <w14:solidFill>
                    <w14:schemeClr w14:val="dk1"/>
                  </w14:solidFill>
                </w14:textFill>
              </w:rPr>
              <w:t>系数</w:t>
            </w:r>
          </w:p>
        </w:tc>
        <w:tc>
          <w:tcPr>
            <w:tcW w:w="1007" w:type="dxa"/>
            <w:tcBorders>
              <w:top w:val="single" w:color="000000" w:themeColor="dark1" w:sz="12" w:space="0"/>
              <w:left w:val="nil"/>
              <w:bottom w:val="single" w:color="000000" w:themeColor="dark1" w:sz="6" w:space="0"/>
              <w:right w:val="nil"/>
            </w:tcBorders>
            <w:shd w:val="clear" w:color="auto" w:fill="FFFFFF"/>
            <w:vAlign w:val="center"/>
          </w:tcPr>
          <w:p w14:paraId="5972D64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i w:val="0"/>
                <w:color w:val="000000" w:themeColor="dark1"/>
                <w:sz w:val="21"/>
                <w:szCs w:val="21"/>
                <w14:textFill>
                  <w14:solidFill>
                    <w14:schemeClr w14:val="dk1"/>
                  </w14:solidFill>
                </w14:textFill>
              </w:rPr>
            </w:pPr>
            <w:r>
              <w:rPr>
                <w:rFonts w:hint="eastAsia" w:ascii="宋体" w:hAnsi="宋体" w:eastAsia="宋体" w:cs="宋体"/>
                <w:b/>
                <w:i w:val="0"/>
                <w:iCs w:val="0"/>
                <w:caps w:val="0"/>
                <w:color w:val="000000" w:themeColor="dark1"/>
                <w:spacing w:val="0"/>
                <w:sz w:val="21"/>
                <w:szCs w:val="21"/>
                <w14:textFill>
                  <w14:solidFill>
                    <w14:schemeClr w14:val="dk1"/>
                  </w14:solidFill>
                </w14:textFill>
              </w:rPr>
              <w:t>标准误</w:t>
            </w:r>
          </w:p>
        </w:tc>
        <w:tc>
          <w:tcPr>
            <w:tcW w:w="950" w:type="dxa"/>
            <w:tcBorders>
              <w:top w:val="single" w:color="000000" w:themeColor="dark1" w:sz="12" w:space="0"/>
              <w:left w:val="nil"/>
              <w:bottom w:val="single" w:color="000000" w:themeColor="dark1" w:sz="6" w:space="0"/>
              <w:right w:val="nil"/>
            </w:tcBorders>
            <w:shd w:val="clear" w:color="auto" w:fill="FFFFFF"/>
            <w:vAlign w:val="center"/>
          </w:tcPr>
          <w:p w14:paraId="38AF068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i w:val="0"/>
                <w:color w:val="000000" w:themeColor="dark1"/>
                <w:sz w:val="21"/>
                <w:szCs w:val="21"/>
                <w14:textFill>
                  <w14:solidFill>
                    <w14:schemeClr w14:val="dk1"/>
                  </w14:solidFill>
                </w14:textFill>
              </w:rPr>
            </w:pPr>
            <w:r>
              <w:rPr>
                <w:rFonts w:hint="eastAsia" w:ascii="宋体" w:hAnsi="宋体" w:eastAsia="宋体" w:cs="宋体"/>
                <w:b/>
                <w:i w:val="0"/>
                <w:iCs w:val="0"/>
                <w:caps w:val="0"/>
                <w:color w:val="000000" w:themeColor="dark1"/>
                <w:spacing w:val="0"/>
                <w:sz w:val="21"/>
                <w:szCs w:val="21"/>
                <w14:textFill>
                  <w14:solidFill>
                    <w14:schemeClr w14:val="dk1"/>
                  </w14:solidFill>
                </w14:textFill>
              </w:rPr>
              <w:t>t值</w:t>
            </w:r>
          </w:p>
        </w:tc>
        <w:tc>
          <w:tcPr>
            <w:tcW w:w="1015" w:type="dxa"/>
            <w:tcBorders>
              <w:top w:val="single" w:color="000000" w:themeColor="dark1" w:sz="12" w:space="0"/>
              <w:left w:val="nil"/>
              <w:bottom w:val="single" w:color="000000" w:themeColor="dark1" w:sz="6" w:space="0"/>
              <w:right w:val="nil"/>
            </w:tcBorders>
            <w:shd w:val="clear" w:color="auto" w:fill="FFFFFF"/>
            <w:vAlign w:val="center"/>
          </w:tcPr>
          <w:p w14:paraId="13BB8CA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i w:val="0"/>
                <w:color w:val="000000" w:themeColor="dark1"/>
                <w:sz w:val="21"/>
                <w:szCs w:val="21"/>
                <w14:textFill>
                  <w14:solidFill>
                    <w14:schemeClr w14:val="dk1"/>
                  </w14:solidFill>
                </w14:textFill>
              </w:rPr>
            </w:pPr>
            <w:r>
              <w:rPr>
                <w:rFonts w:hint="eastAsia" w:ascii="宋体" w:hAnsi="宋体" w:eastAsia="宋体" w:cs="宋体"/>
                <w:b/>
                <w:i w:val="0"/>
                <w:iCs w:val="0"/>
                <w:caps w:val="0"/>
                <w:color w:val="000000" w:themeColor="dark1"/>
                <w:spacing w:val="0"/>
                <w:sz w:val="21"/>
                <w:szCs w:val="21"/>
                <w14:textFill>
                  <w14:solidFill>
                    <w14:schemeClr w14:val="dk1"/>
                  </w14:solidFill>
                </w14:textFill>
              </w:rPr>
              <w:t>样本量</w:t>
            </w:r>
          </w:p>
        </w:tc>
        <w:tc>
          <w:tcPr>
            <w:tcW w:w="1135" w:type="dxa"/>
            <w:tcBorders>
              <w:top w:val="single" w:color="000000" w:themeColor="dark1" w:sz="12" w:space="0"/>
              <w:left w:val="nil"/>
              <w:bottom w:val="single" w:color="000000" w:themeColor="dark1" w:sz="6" w:space="0"/>
              <w:right w:val="nil"/>
            </w:tcBorders>
            <w:shd w:val="clear" w:color="auto" w:fill="FFFFFF"/>
            <w:vAlign w:val="center"/>
          </w:tcPr>
          <w:p w14:paraId="360B434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i w:val="0"/>
                <w:color w:val="000000" w:themeColor="dark1"/>
                <w:sz w:val="21"/>
                <w:szCs w:val="21"/>
                <w:lang w:val="en-US" w:eastAsia="zh-CN"/>
                <w14:textFill>
                  <w14:solidFill>
                    <w14:schemeClr w14:val="dk1"/>
                  </w14:solidFill>
                </w14:textFill>
              </w:rPr>
            </w:pPr>
            <w:r>
              <w:rPr>
                <w:rFonts w:hint="eastAsia" w:ascii="宋体" w:hAnsi="宋体" w:eastAsia="宋体" w:cs="宋体"/>
                <w:b/>
                <w:i w:val="0"/>
                <w:color w:val="000000" w:themeColor="dark1"/>
                <w:sz w:val="21"/>
                <w:szCs w:val="21"/>
                <w:lang w:val="en-US" w:eastAsia="zh-CN"/>
                <w14:textFill>
                  <w14:solidFill>
                    <w14:schemeClr w14:val="dk1"/>
                  </w14:solidFill>
                </w14:textFill>
              </w:rPr>
              <w:t>拟合指数</w:t>
            </w:r>
          </w:p>
        </w:tc>
      </w:tr>
      <w:tr w14:paraId="550A9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3" w:type="dxa"/>
            <w:tcBorders>
              <w:top w:val="single" w:color="000000" w:themeColor="dark1" w:sz="6" w:space="0"/>
              <w:left w:val="nil"/>
              <w:bottom w:val="nil"/>
              <w:right w:val="nil"/>
            </w:tcBorders>
            <w:shd w:val="clear" w:color="auto" w:fill="FFFFFF"/>
            <w:vAlign w:val="center"/>
          </w:tcPr>
          <w:p w14:paraId="4930ACF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i w:val="0"/>
                <w:color w:val="08090C"/>
                <w:sz w:val="21"/>
                <w:szCs w:val="21"/>
              </w:rPr>
            </w:pPr>
            <w:r>
              <w:rPr>
                <w:rFonts w:hint="eastAsia" w:ascii="宋体" w:hAnsi="宋体" w:eastAsia="宋体" w:cs="宋体"/>
                <w:b w:val="0"/>
                <w:i w:val="0"/>
                <w:iCs w:val="0"/>
                <w:caps w:val="0"/>
                <w:color w:val="08090C"/>
                <w:spacing w:val="0"/>
                <w:sz w:val="21"/>
                <w:szCs w:val="21"/>
              </w:rPr>
              <w:t>固定效应基线</w:t>
            </w:r>
          </w:p>
        </w:tc>
        <w:tc>
          <w:tcPr>
            <w:tcW w:w="1828" w:type="dxa"/>
            <w:tcBorders>
              <w:top w:val="single" w:color="000000" w:themeColor="dark1" w:sz="6" w:space="0"/>
              <w:left w:val="nil"/>
              <w:bottom w:val="nil"/>
              <w:right w:val="nil"/>
            </w:tcBorders>
            <w:shd w:val="clear" w:color="auto" w:fill="FFFFFF"/>
            <w:vAlign w:val="center"/>
          </w:tcPr>
          <w:p w14:paraId="249E3B5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i w:val="0"/>
                <w:color w:val="08090C"/>
                <w:sz w:val="21"/>
                <w:szCs w:val="21"/>
              </w:rPr>
            </w:pPr>
            <w:r>
              <w:rPr>
                <w:rFonts w:hint="eastAsia" w:ascii="宋体" w:hAnsi="宋体" w:eastAsia="宋体" w:cs="宋体"/>
                <w:b w:val="0"/>
                <w:i w:val="0"/>
                <w:iCs w:val="0"/>
                <w:caps w:val="0"/>
                <w:color w:val="08090C"/>
                <w:spacing w:val="0"/>
                <w:sz w:val="21"/>
                <w:szCs w:val="21"/>
              </w:rPr>
              <w:t>年报AI词频</w:t>
            </w:r>
          </w:p>
        </w:tc>
        <w:tc>
          <w:tcPr>
            <w:tcW w:w="893" w:type="dxa"/>
            <w:tcBorders>
              <w:top w:val="single" w:color="000000" w:themeColor="dark1" w:sz="6" w:space="0"/>
              <w:left w:val="nil"/>
              <w:bottom w:val="nil"/>
              <w:right w:val="nil"/>
            </w:tcBorders>
            <w:shd w:val="clear" w:color="auto" w:fill="FFFFFF"/>
            <w:vAlign w:val="center"/>
          </w:tcPr>
          <w:p w14:paraId="6714204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i w:val="0"/>
                <w:color w:val="08090C"/>
                <w:sz w:val="21"/>
                <w:szCs w:val="21"/>
              </w:rPr>
            </w:pPr>
            <w:r>
              <w:rPr>
                <w:rFonts w:hint="eastAsia" w:ascii="宋体" w:hAnsi="宋体" w:eastAsia="宋体" w:cs="宋体"/>
                <w:b w:val="0"/>
                <w:i w:val="0"/>
                <w:iCs w:val="0"/>
                <w:caps w:val="0"/>
                <w:color w:val="08090C"/>
                <w:spacing w:val="0"/>
                <w:sz w:val="21"/>
                <w:szCs w:val="21"/>
              </w:rPr>
              <w:t>0.0450</w:t>
            </w:r>
          </w:p>
        </w:tc>
        <w:tc>
          <w:tcPr>
            <w:tcW w:w="1007" w:type="dxa"/>
            <w:tcBorders>
              <w:top w:val="single" w:color="000000" w:themeColor="dark1" w:sz="6" w:space="0"/>
              <w:left w:val="nil"/>
              <w:bottom w:val="nil"/>
              <w:right w:val="nil"/>
            </w:tcBorders>
            <w:shd w:val="clear" w:color="auto" w:fill="FFFFFF"/>
            <w:vAlign w:val="center"/>
          </w:tcPr>
          <w:p w14:paraId="2F1AD1E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i w:val="0"/>
                <w:color w:val="08090C"/>
                <w:sz w:val="21"/>
                <w:szCs w:val="21"/>
              </w:rPr>
            </w:pPr>
            <w:r>
              <w:rPr>
                <w:rFonts w:hint="eastAsia" w:ascii="宋体" w:hAnsi="宋体" w:eastAsia="宋体" w:cs="宋体"/>
                <w:b w:val="0"/>
                <w:i w:val="0"/>
                <w:iCs w:val="0"/>
                <w:caps w:val="0"/>
                <w:color w:val="08090C"/>
                <w:spacing w:val="0"/>
                <w:sz w:val="21"/>
                <w:szCs w:val="21"/>
                <w:lang w:val="en-US" w:eastAsia="zh-CN"/>
              </w:rPr>
              <w:t>-</w:t>
            </w:r>
            <w:r>
              <w:rPr>
                <w:rFonts w:hint="eastAsia" w:ascii="宋体" w:hAnsi="宋体" w:eastAsia="宋体" w:cs="宋体"/>
                <w:b w:val="0"/>
                <w:i w:val="0"/>
                <w:iCs w:val="0"/>
                <w:caps w:val="0"/>
                <w:color w:val="08090C"/>
                <w:spacing w:val="0"/>
                <w:sz w:val="21"/>
                <w:szCs w:val="21"/>
              </w:rPr>
              <w:t>0.0091</w:t>
            </w:r>
          </w:p>
        </w:tc>
        <w:tc>
          <w:tcPr>
            <w:tcW w:w="950" w:type="dxa"/>
            <w:tcBorders>
              <w:top w:val="single" w:color="000000" w:themeColor="dark1" w:sz="6" w:space="0"/>
              <w:left w:val="nil"/>
              <w:bottom w:val="nil"/>
              <w:right w:val="nil"/>
            </w:tcBorders>
            <w:shd w:val="clear" w:color="auto" w:fill="FFFFFF"/>
            <w:vAlign w:val="center"/>
          </w:tcPr>
          <w:p w14:paraId="400FDB2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iCs w:val="0"/>
                <w:caps w:val="0"/>
                <w:color w:val="08090C"/>
                <w:spacing w:val="0"/>
                <w:sz w:val="21"/>
                <w:szCs w:val="21"/>
              </w:rPr>
              <w:t>4.95</w:t>
            </w:r>
            <w:r>
              <w:rPr>
                <w:rFonts w:hint="eastAsia" w:ascii="宋体" w:hAnsi="宋体" w:eastAsia="宋体" w:cs="宋体"/>
                <w:b w:val="0"/>
                <w:i w:val="0"/>
                <w:iCs w:val="0"/>
                <w:caps w:val="0"/>
                <w:color w:val="08090C"/>
                <w:spacing w:val="0"/>
                <w:sz w:val="21"/>
                <w:szCs w:val="21"/>
                <w:lang w:val="en-US" w:eastAsia="zh-CN"/>
              </w:rPr>
              <w:t>07</w:t>
            </w:r>
          </w:p>
        </w:tc>
        <w:tc>
          <w:tcPr>
            <w:tcW w:w="1015" w:type="dxa"/>
            <w:tcBorders>
              <w:top w:val="single" w:color="000000" w:themeColor="dark1" w:sz="6" w:space="0"/>
              <w:left w:val="nil"/>
              <w:bottom w:val="nil"/>
              <w:right w:val="nil"/>
            </w:tcBorders>
            <w:shd w:val="clear" w:color="auto" w:fill="FFFFFF"/>
            <w:vAlign w:val="center"/>
          </w:tcPr>
          <w:p w14:paraId="3E7B85F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i w:val="0"/>
                <w:color w:val="08090C"/>
                <w:sz w:val="21"/>
                <w:szCs w:val="21"/>
              </w:rPr>
            </w:pPr>
            <w:r>
              <w:rPr>
                <w:rFonts w:hint="eastAsia" w:ascii="宋体" w:hAnsi="宋体" w:eastAsia="宋体" w:cs="宋体"/>
                <w:b w:val="0"/>
                <w:i w:val="0"/>
                <w:iCs w:val="0"/>
                <w:caps w:val="0"/>
                <w:color w:val="08090C"/>
                <w:spacing w:val="0"/>
                <w:sz w:val="21"/>
                <w:szCs w:val="21"/>
              </w:rPr>
              <w:t>28450</w:t>
            </w:r>
          </w:p>
        </w:tc>
        <w:tc>
          <w:tcPr>
            <w:tcW w:w="1135" w:type="dxa"/>
            <w:tcBorders>
              <w:top w:val="single" w:color="000000" w:themeColor="dark1" w:sz="6" w:space="0"/>
              <w:left w:val="nil"/>
              <w:bottom w:val="nil"/>
              <w:right w:val="nil"/>
            </w:tcBorders>
            <w:shd w:val="clear" w:color="auto" w:fill="FFFFFF"/>
            <w:vAlign w:val="center"/>
          </w:tcPr>
          <w:p w14:paraId="77DF3F1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i w:val="0"/>
                <w:color w:val="08090C"/>
                <w:sz w:val="21"/>
                <w:szCs w:val="21"/>
              </w:rPr>
            </w:pPr>
            <w:r>
              <w:rPr>
                <w:rFonts w:hint="eastAsia" w:ascii="宋体" w:hAnsi="宋体" w:eastAsia="宋体" w:cs="宋体"/>
                <w:b w:val="0"/>
                <w:i w:val="0"/>
                <w:iCs w:val="0"/>
                <w:caps w:val="0"/>
                <w:color w:val="08090C"/>
                <w:spacing w:val="0"/>
                <w:sz w:val="21"/>
                <w:szCs w:val="21"/>
              </w:rPr>
              <w:t>0.0797</w:t>
            </w:r>
          </w:p>
        </w:tc>
      </w:tr>
      <w:tr w14:paraId="6894A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82" w:hRule="atLeast"/>
        </w:trPr>
        <w:tc>
          <w:tcPr>
            <w:tcW w:w="1773" w:type="dxa"/>
            <w:tcBorders>
              <w:top w:val="nil"/>
              <w:left w:val="nil"/>
              <w:bottom w:val="nil"/>
              <w:right w:val="nil"/>
            </w:tcBorders>
            <w:shd w:val="clear" w:color="auto" w:fill="FFFFFF"/>
            <w:vAlign w:val="center"/>
          </w:tcPr>
          <w:p w14:paraId="1B30538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left"/>
              <w:textAlignment w:val="auto"/>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sz w:val="21"/>
                <w:szCs w:val="21"/>
              </w:rPr>
              <w:t>主模型</w:t>
            </w:r>
          </w:p>
          <w:p w14:paraId="3E5AC57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i w:val="0"/>
                <w:color w:val="08090C"/>
                <w:sz w:val="21"/>
                <w:szCs w:val="21"/>
              </w:rPr>
            </w:pPr>
            <w:r>
              <w:rPr>
                <w:rFonts w:hint="eastAsia" w:ascii="宋体" w:hAnsi="宋体" w:eastAsia="宋体" w:cs="宋体"/>
                <w:b w:val="0"/>
                <w:i w:val="0"/>
                <w:iCs w:val="0"/>
                <w:caps w:val="0"/>
                <w:color w:val="08090C"/>
                <w:spacing w:val="0"/>
                <w:sz w:val="21"/>
                <w:szCs w:val="21"/>
              </w:rPr>
              <w:t>（控制变量+FE）</w:t>
            </w:r>
          </w:p>
        </w:tc>
        <w:tc>
          <w:tcPr>
            <w:tcW w:w="1828" w:type="dxa"/>
            <w:tcBorders>
              <w:top w:val="nil"/>
              <w:left w:val="nil"/>
              <w:bottom w:val="nil"/>
              <w:right w:val="nil"/>
            </w:tcBorders>
            <w:shd w:val="clear" w:color="auto" w:fill="FFFFFF"/>
            <w:vAlign w:val="center"/>
          </w:tcPr>
          <w:p w14:paraId="141C0C3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i w:val="0"/>
                <w:color w:val="08090C"/>
                <w:sz w:val="21"/>
                <w:szCs w:val="21"/>
              </w:rPr>
            </w:pPr>
            <w:r>
              <w:rPr>
                <w:rFonts w:hint="eastAsia" w:ascii="宋体" w:hAnsi="宋体" w:eastAsia="宋体" w:cs="宋体"/>
                <w:b w:val="0"/>
                <w:i w:val="0"/>
                <w:iCs w:val="0"/>
                <w:caps w:val="0"/>
                <w:color w:val="08090C"/>
                <w:spacing w:val="0"/>
                <w:sz w:val="21"/>
                <w:szCs w:val="21"/>
              </w:rPr>
              <w:t>年报AI词频</w:t>
            </w:r>
          </w:p>
        </w:tc>
        <w:tc>
          <w:tcPr>
            <w:tcW w:w="893" w:type="dxa"/>
            <w:tcBorders>
              <w:top w:val="nil"/>
              <w:left w:val="nil"/>
              <w:bottom w:val="nil"/>
              <w:right w:val="nil"/>
            </w:tcBorders>
            <w:shd w:val="clear" w:color="auto" w:fill="FFFFFF"/>
            <w:vAlign w:val="center"/>
          </w:tcPr>
          <w:p w14:paraId="43CCD5C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i w:val="0"/>
                <w:color w:val="08090C"/>
                <w:sz w:val="21"/>
                <w:szCs w:val="21"/>
              </w:rPr>
            </w:pPr>
            <w:r>
              <w:rPr>
                <w:rFonts w:hint="eastAsia" w:ascii="宋体" w:hAnsi="宋体" w:eastAsia="宋体" w:cs="宋体"/>
                <w:b w:val="0"/>
                <w:i w:val="0"/>
                <w:iCs w:val="0"/>
                <w:caps w:val="0"/>
                <w:color w:val="08090C"/>
                <w:spacing w:val="0"/>
                <w:sz w:val="21"/>
                <w:szCs w:val="21"/>
              </w:rPr>
              <w:t>0.0490</w:t>
            </w:r>
          </w:p>
        </w:tc>
        <w:tc>
          <w:tcPr>
            <w:tcW w:w="1007" w:type="dxa"/>
            <w:tcBorders>
              <w:top w:val="nil"/>
              <w:left w:val="nil"/>
              <w:bottom w:val="nil"/>
              <w:right w:val="nil"/>
            </w:tcBorders>
            <w:shd w:val="clear" w:color="auto" w:fill="FFFFFF"/>
            <w:vAlign w:val="center"/>
          </w:tcPr>
          <w:p w14:paraId="2B4BAC7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i w:val="0"/>
                <w:color w:val="08090C"/>
                <w:sz w:val="21"/>
                <w:szCs w:val="21"/>
              </w:rPr>
            </w:pPr>
            <w:r>
              <w:rPr>
                <w:rFonts w:hint="eastAsia" w:ascii="宋体" w:hAnsi="宋体" w:eastAsia="宋体" w:cs="宋体"/>
                <w:b w:val="0"/>
                <w:i w:val="0"/>
                <w:iCs w:val="0"/>
                <w:caps w:val="0"/>
                <w:color w:val="08090C"/>
                <w:spacing w:val="0"/>
                <w:sz w:val="21"/>
                <w:szCs w:val="21"/>
                <w:lang w:val="en-US" w:eastAsia="zh-CN"/>
              </w:rPr>
              <w:t>-</w:t>
            </w:r>
            <w:r>
              <w:rPr>
                <w:rFonts w:hint="eastAsia" w:ascii="宋体" w:hAnsi="宋体" w:eastAsia="宋体" w:cs="宋体"/>
                <w:b w:val="0"/>
                <w:i w:val="0"/>
                <w:iCs w:val="0"/>
                <w:caps w:val="0"/>
                <w:color w:val="08090C"/>
                <w:spacing w:val="0"/>
                <w:sz w:val="21"/>
                <w:szCs w:val="21"/>
              </w:rPr>
              <w:t>0.0079</w:t>
            </w:r>
          </w:p>
        </w:tc>
        <w:tc>
          <w:tcPr>
            <w:tcW w:w="950" w:type="dxa"/>
            <w:tcBorders>
              <w:top w:val="nil"/>
              <w:left w:val="nil"/>
              <w:bottom w:val="nil"/>
              <w:right w:val="nil"/>
            </w:tcBorders>
            <w:shd w:val="clear" w:color="auto" w:fill="FFFFFF"/>
            <w:vAlign w:val="center"/>
          </w:tcPr>
          <w:p w14:paraId="6A921E4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iCs w:val="0"/>
                <w:caps w:val="0"/>
                <w:color w:val="08090C"/>
                <w:spacing w:val="0"/>
                <w:sz w:val="21"/>
                <w:szCs w:val="21"/>
              </w:rPr>
              <w:t>6.1</w:t>
            </w:r>
            <w:r>
              <w:rPr>
                <w:rFonts w:hint="eastAsia" w:ascii="宋体" w:hAnsi="宋体" w:eastAsia="宋体" w:cs="宋体"/>
                <w:b w:val="0"/>
                <w:i w:val="0"/>
                <w:iCs w:val="0"/>
                <w:caps w:val="0"/>
                <w:color w:val="08090C"/>
                <w:spacing w:val="0"/>
                <w:sz w:val="21"/>
                <w:szCs w:val="21"/>
                <w:lang w:val="en-US" w:eastAsia="zh-CN"/>
              </w:rPr>
              <w:t>8</w:t>
            </w:r>
            <w:r>
              <w:rPr>
                <w:rFonts w:hint="eastAsia" w:ascii="宋体" w:hAnsi="宋体" w:eastAsia="宋体" w:cs="宋体"/>
                <w:b w:val="0"/>
                <w:i w:val="0"/>
                <w:iCs w:val="0"/>
                <w:caps w:val="0"/>
                <w:color w:val="08090C"/>
                <w:spacing w:val="0"/>
                <w:sz w:val="21"/>
                <w:szCs w:val="21"/>
              </w:rPr>
              <w:t>9</w:t>
            </w:r>
            <w:r>
              <w:rPr>
                <w:rFonts w:hint="eastAsia" w:ascii="宋体" w:hAnsi="宋体" w:eastAsia="宋体" w:cs="宋体"/>
                <w:b w:val="0"/>
                <w:i w:val="0"/>
                <w:iCs w:val="0"/>
                <w:caps w:val="0"/>
                <w:color w:val="08090C"/>
                <w:spacing w:val="0"/>
                <w:sz w:val="21"/>
                <w:szCs w:val="21"/>
                <w:lang w:val="en-US" w:eastAsia="zh-CN"/>
              </w:rPr>
              <w:t>4</w:t>
            </w:r>
          </w:p>
        </w:tc>
        <w:tc>
          <w:tcPr>
            <w:tcW w:w="1015" w:type="dxa"/>
            <w:tcBorders>
              <w:top w:val="nil"/>
              <w:left w:val="nil"/>
              <w:bottom w:val="nil"/>
              <w:right w:val="nil"/>
            </w:tcBorders>
            <w:shd w:val="clear" w:color="auto" w:fill="FFFFFF"/>
            <w:vAlign w:val="center"/>
          </w:tcPr>
          <w:p w14:paraId="71CD9DE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i w:val="0"/>
                <w:color w:val="08090C"/>
                <w:sz w:val="21"/>
                <w:szCs w:val="21"/>
              </w:rPr>
            </w:pPr>
            <w:r>
              <w:rPr>
                <w:rFonts w:hint="eastAsia" w:ascii="宋体" w:hAnsi="宋体" w:eastAsia="宋体" w:cs="宋体"/>
                <w:b w:val="0"/>
                <w:i w:val="0"/>
                <w:iCs w:val="0"/>
                <w:caps w:val="0"/>
                <w:color w:val="08090C"/>
                <w:spacing w:val="0"/>
                <w:sz w:val="21"/>
                <w:szCs w:val="21"/>
              </w:rPr>
              <w:t>26869</w:t>
            </w:r>
          </w:p>
        </w:tc>
        <w:tc>
          <w:tcPr>
            <w:tcW w:w="1135" w:type="dxa"/>
            <w:tcBorders>
              <w:top w:val="nil"/>
              <w:left w:val="nil"/>
              <w:bottom w:val="nil"/>
              <w:right w:val="nil"/>
            </w:tcBorders>
            <w:shd w:val="clear" w:color="auto" w:fill="FFFFFF"/>
            <w:vAlign w:val="center"/>
          </w:tcPr>
          <w:p w14:paraId="54E3A23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i w:val="0"/>
                <w:color w:val="08090C"/>
                <w:sz w:val="21"/>
                <w:szCs w:val="21"/>
              </w:rPr>
            </w:pPr>
            <w:r>
              <w:rPr>
                <w:rFonts w:hint="eastAsia" w:ascii="宋体" w:hAnsi="宋体" w:eastAsia="宋体" w:cs="宋体"/>
                <w:b w:val="0"/>
                <w:i w:val="0"/>
                <w:iCs w:val="0"/>
                <w:caps w:val="0"/>
                <w:color w:val="08090C"/>
                <w:spacing w:val="0"/>
                <w:sz w:val="21"/>
                <w:szCs w:val="21"/>
              </w:rPr>
              <w:t>0.2701</w:t>
            </w:r>
          </w:p>
        </w:tc>
      </w:tr>
      <w:tr w14:paraId="715DD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37" w:hRule="atLeast"/>
        </w:trPr>
        <w:tc>
          <w:tcPr>
            <w:tcW w:w="1773" w:type="dxa"/>
            <w:tcBorders>
              <w:top w:val="nil"/>
              <w:left w:val="nil"/>
              <w:bottom w:val="nil"/>
              <w:right w:val="nil"/>
            </w:tcBorders>
            <w:shd w:val="clear" w:color="auto" w:fill="FFFFFF"/>
            <w:vAlign w:val="center"/>
          </w:tcPr>
          <w:p w14:paraId="4C7CDC3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i w:val="0"/>
                <w:color w:val="08090C"/>
                <w:sz w:val="21"/>
                <w:szCs w:val="21"/>
              </w:rPr>
            </w:pPr>
            <w:r>
              <w:rPr>
                <w:rFonts w:hint="eastAsia" w:ascii="宋体" w:hAnsi="宋体" w:eastAsia="宋体" w:cs="宋体"/>
                <w:b w:val="0"/>
                <w:i w:val="0"/>
                <w:iCs w:val="0"/>
                <w:caps w:val="0"/>
                <w:color w:val="08090C"/>
                <w:spacing w:val="0"/>
                <w:sz w:val="21"/>
                <w:szCs w:val="21"/>
              </w:rPr>
              <w:t>替换X稳健性1</w:t>
            </w:r>
          </w:p>
        </w:tc>
        <w:tc>
          <w:tcPr>
            <w:tcW w:w="1828" w:type="dxa"/>
            <w:tcBorders>
              <w:top w:val="nil"/>
              <w:left w:val="nil"/>
              <w:bottom w:val="nil"/>
              <w:right w:val="nil"/>
            </w:tcBorders>
            <w:shd w:val="clear" w:color="auto" w:fill="FFFFFF"/>
            <w:vAlign w:val="center"/>
          </w:tcPr>
          <w:p w14:paraId="548DD8B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i w:val="0"/>
                <w:color w:val="08090C"/>
                <w:sz w:val="21"/>
                <w:szCs w:val="21"/>
              </w:rPr>
            </w:pPr>
            <w:r>
              <w:rPr>
                <w:rFonts w:hint="eastAsia" w:ascii="宋体" w:hAnsi="宋体" w:eastAsia="宋体" w:cs="宋体"/>
                <w:b w:val="0"/>
                <w:i w:val="0"/>
                <w:iCs w:val="0"/>
                <w:caps w:val="0"/>
                <w:color w:val="08090C"/>
                <w:spacing w:val="0"/>
                <w:sz w:val="21"/>
                <w:szCs w:val="21"/>
              </w:rPr>
              <w:t>MD&amp;A</w:t>
            </w:r>
            <w:r>
              <w:rPr>
                <w:rFonts w:hint="eastAsia" w:ascii="宋体" w:hAnsi="宋体" w:eastAsia="宋体" w:cs="宋体"/>
                <w:b w:val="0"/>
                <w:i w:val="0"/>
                <w:iCs w:val="0"/>
                <w:caps w:val="0"/>
                <w:color w:val="08090C"/>
                <w:spacing w:val="0"/>
                <w:sz w:val="21"/>
                <w:szCs w:val="21"/>
                <w:lang w:val="en-US" w:eastAsia="zh-CN"/>
              </w:rPr>
              <w:t xml:space="preserve"> </w:t>
            </w:r>
            <w:r>
              <w:rPr>
                <w:rFonts w:hint="eastAsia" w:ascii="宋体" w:hAnsi="宋体" w:eastAsia="宋体" w:cs="宋体"/>
                <w:b w:val="0"/>
                <w:i w:val="0"/>
                <w:iCs w:val="0"/>
                <w:caps w:val="0"/>
                <w:color w:val="08090C"/>
                <w:spacing w:val="0"/>
                <w:sz w:val="21"/>
                <w:szCs w:val="21"/>
              </w:rPr>
              <w:t>AI词频</w:t>
            </w:r>
          </w:p>
        </w:tc>
        <w:tc>
          <w:tcPr>
            <w:tcW w:w="893" w:type="dxa"/>
            <w:tcBorders>
              <w:top w:val="nil"/>
              <w:left w:val="nil"/>
              <w:bottom w:val="nil"/>
              <w:right w:val="nil"/>
            </w:tcBorders>
            <w:shd w:val="clear" w:color="auto" w:fill="FFFFFF"/>
            <w:vAlign w:val="center"/>
          </w:tcPr>
          <w:p w14:paraId="6A4721C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i w:val="0"/>
                <w:color w:val="08090C"/>
                <w:sz w:val="21"/>
                <w:szCs w:val="21"/>
              </w:rPr>
            </w:pPr>
            <w:r>
              <w:rPr>
                <w:rFonts w:hint="eastAsia" w:ascii="宋体" w:hAnsi="宋体" w:eastAsia="宋体" w:cs="宋体"/>
                <w:b w:val="0"/>
                <w:i w:val="0"/>
                <w:iCs w:val="0"/>
                <w:caps w:val="0"/>
                <w:color w:val="08090C"/>
                <w:spacing w:val="0"/>
                <w:sz w:val="21"/>
                <w:szCs w:val="21"/>
              </w:rPr>
              <w:t>0.0496</w:t>
            </w:r>
          </w:p>
        </w:tc>
        <w:tc>
          <w:tcPr>
            <w:tcW w:w="1007" w:type="dxa"/>
            <w:tcBorders>
              <w:top w:val="nil"/>
              <w:left w:val="nil"/>
              <w:bottom w:val="nil"/>
              <w:right w:val="nil"/>
            </w:tcBorders>
            <w:shd w:val="clear" w:color="auto" w:fill="FFFFFF"/>
            <w:vAlign w:val="center"/>
          </w:tcPr>
          <w:p w14:paraId="70DD2A7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i w:val="0"/>
                <w:color w:val="08090C"/>
                <w:sz w:val="21"/>
                <w:szCs w:val="21"/>
              </w:rPr>
            </w:pPr>
            <w:r>
              <w:rPr>
                <w:rFonts w:hint="eastAsia" w:ascii="宋体" w:hAnsi="宋体" w:eastAsia="宋体" w:cs="宋体"/>
                <w:b w:val="0"/>
                <w:i w:val="0"/>
                <w:iCs w:val="0"/>
                <w:caps w:val="0"/>
                <w:color w:val="08090C"/>
                <w:spacing w:val="0"/>
                <w:sz w:val="21"/>
                <w:szCs w:val="21"/>
                <w:lang w:val="en-US" w:eastAsia="zh-CN"/>
              </w:rPr>
              <w:t>-</w:t>
            </w:r>
            <w:r>
              <w:rPr>
                <w:rFonts w:hint="eastAsia" w:ascii="宋体" w:hAnsi="宋体" w:eastAsia="宋体" w:cs="宋体"/>
                <w:b w:val="0"/>
                <w:i w:val="0"/>
                <w:iCs w:val="0"/>
                <w:caps w:val="0"/>
                <w:color w:val="08090C"/>
                <w:spacing w:val="0"/>
                <w:sz w:val="21"/>
                <w:szCs w:val="21"/>
              </w:rPr>
              <w:t>0.0080</w:t>
            </w:r>
          </w:p>
        </w:tc>
        <w:tc>
          <w:tcPr>
            <w:tcW w:w="950" w:type="dxa"/>
            <w:tcBorders>
              <w:top w:val="nil"/>
              <w:left w:val="nil"/>
              <w:bottom w:val="nil"/>
              <w:right w:val="nil"/>
            </w:tcBorders>
            <w:shd w:val="clear" w:color="auto" w:fill="FFFFFF"/>
            <w:vAlign w:val="center"/>
          </w:tcPr>
          <w:p w14:paraId="624BA1A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iCs w:val="0"/>
                <w:caps w:val="0"/>
                <w:color w:val="08090C"/>
                <w:spacing w:val="0"/>
                <w:sz w:val="21"/>
                <w:szCs w:val="21"/>
              </w:rPr>
              <w:t>6.1</w:t>
            </w:r>
            <w:r>
              <w:rPr>
                <w:rFonts w:hint="eastAsia" w:ascii="宋体" w:hAnsi="宋体" w:eastAsia="宋体" w:cs="宋体"/>
                <w:b w:val="0"/>
                <w:i w:val="0"/>
                <w:iCs w:val="0"/>
                <w:caps w:val="0"/>
                <w:color w:val="08090C"/>
                <w:spacing w:val="0"/>
                <w:sz w:val="21"/>
                <w:szCs w:val="21"/>
                <w:lang w:val="en-US" w:eastAsia="zh-CN"/>
              </w:rPr>
              <w:t>694</w:t>
            </w:r>
          </w:p>
        </w:tc>
        <w:tc>
          <w:tcPr>
            <w:tcW w:w="1015" w:type="dxa"/>
            <w:tcBorders>
              <w:top w:val="nil"/>
              <w:left w:val="nil"/>
              <w:bottom w:val="nil"/>
              <w:right w:val="nil"/>
            </w:tcBorders>
            <w:shd w:val="clear" w:color="auto" w:fill="FFFFFF"/>
            <w:vAlign w:val="center"/>
          </w:tcPr>
          <w:p w14:paraId="3A49336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i w:val="0"/>
                <w:color w:val="08090C"/>
                <w:sz w:val="21"/>
                <w:szCs w:val="21"/>
              </w:rPr>
            </w:pPr>
            <w:r>
              <w:rPr>
                <w:rFonts w:hint="eastAsia" w:ascii="宋体" w:hAnsi="宋体" w:eastAsia="宋体" w:cs="宋体"/>
                <w:b w:val="0"/>
                <w:i w:val="0"/>
                <w:iCs w:val="0"/>
                <w:caps w:val="0"/>
                <w:color w:val="08090C"/>
                <w:spacing w:val="0"/>
                <w:sz w:val="21"/>
                <w:szCs w:val="21"/>
              </w:rPr>
              <w:t>26869</w:t>
            </w:r>
          </w:p>
        </w:tc>
        <w:tc>
          <w:tcPr>
            <w:tcW w:w="1135" w:type="dxa"/>
            <w:tcBorders>
              <w:top w:val="nil"/>
              <w:left w:val="nil"/>
              <w:bottom w:val="nil"/>
              <w:right w:val="nil"/>
            </w:tcBorders>
            <w:shd w:val="clear" w:color="auto" w:fill="FFFFFF"/>
            <w:vAlign w:val="center"/>
          </w:tcPr>
          <w:p w14:paraId="6E109B1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i w:val="0"/>
                <w:color w:val="08090C"/>
                <w:sz w:val="21"/>
                <w:szCs w:val="21"/>
              </w:rPr>
            </w:pPr>
            <w:r>
              <w:rPr>
                <w:rFonts w:hint="eastAsia" w:ascii="宋体" w:hAnsi="宋体" w:eastAsia="宋体" w:cs="宋体"/>
                <w:b w:val="0"/>
                <w:i w:val="0"/>
                <w:iCs w:val="0"/>
                <w:caps w:val="0"/>
                <w:color w:val="08090C"/>
                <w:spacing w:val="0"/>
                <w:sz w:val="21"/>
                <w:szCs w:val="21"/>
              </w:rPr>
              <w:t>0.2696</w:t>
            </w:r>
          </w:p>
        </w:tc>
      </w:tr>
      <w:tr w14:paraId="59110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3" w:type="dxa"/>
            <w:tcBorders>
              <w:top w:val="nil"/>
              <w:left w:val="nil"/>
              <w:bottom w:val="single" w:color="000000" w:themeColor="dark1" w:sz="12" w:space="0"/>
              <w:right w:val="nil"/>
            </w:tcBorders>
            <w:shd w:val="clear" w:color="auto" w:fill="FFFFFF"/>
            <w:vAlign w:val="center"/>
          </w:tcPr>
          <w:p w14:paraId="57996AC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i w:val="0"/>
                <w:color w:val="08090C"/>
                <w:sz w:val="21"/>
                <w:szCs w:val="21"/>
              </w:rPr>
            </w:pPr>
            <w:r>
              <w:rPr>
                <w:rFonts w:hint="eastAsia" w:ascii="宋体" w:hAnsi="宋体" w:eastAsia="宋体" w:cs="宋体"/>
                <w:b w:val="0"/>
                <w:i w:val="0"/>
                <w:iCs w:val="0"/>
                <w:caps w:val="0"/>
                <w:color w:val="08090C"/>
                <w:spacing w:val="0"/>
                <w:sz w:val="21"/>
                <w:szCs w:val="21"/>
              </w:rPr>
              <w:t>替换X稳健性2</w:t>
            </w:r>
          </w:p>
        </w:tc>
        <w:tc>
          <w:tcPr>
            <w:tcW w:w="1828" w:type="dxa"/>
            <w:tcBorders>
              <w:top w:val="nil"/>
              <w:left w:val="nil"/>
              <w:bottom w:val="single" w:color="000000" w:themeColor="dark1" w:sz="12" w:space="0"/>
              <w:right w:val="nil"/>
            </w:tcBorders>
            <w:shd w:val="clear" w:color="auto" w:fill="FFFFFF"/>
            <w:vAlign w:val="center"/>
          </w:tcPr>
          <w:p w14:paraId="1481A4B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i w:val="0"/>
                <w:color w:val="08090C"/>
                <w:sz w:val="21"/>
                <w:szCs w:val="21"/>
              </w:rPr>
            </w:pPr>
            <w:r>
              <w:rPr>
                <w:rFonts w:hint="eastAsia" w:ascii="宋体" w:hAnsi="宋体" w:eastAsia="宋体" w:cs="宋体"/>
                <w:b w:val="0"/>
                <w:i w:val="0"/>
                <w:iCs w:val="0"/>
                <w:caps w:val="0"/>
                <w:color w:val="08090C"/>
                <w:spacing w:val="0"/>
                <w:sz w:val="21"/>
                <w:szCs w:val="21"/>
              </w:rPr>
              <w:t>综合AI应用指数</w:t>
            </w:r>
          </w:p>
        </w:tc>
        <w:tc>
          <w:tcPr>
            <w:tcW w:w="893" w:type="dxa"/>
            <w:tcBorders>
              <w:top w:val="nil"/>
              <w:left w:val="nil"/>
              <w:bottom w:val="single" w:color="000000" w:themeColor="dark1" w:sz="12" w:space="0"/>
              <w:right w:val="nil"/>
            </w:tcBorders>
            <w:shd w:val="clear" w:color="auto" w:fill="FFFFFF"/>
            <w:vAlign w:val="center"/>
          </w:tcPr>
          <w:p w14:paraId="589D93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i w:val="0"/>
                <w:color w:val="08090C"/>
                <w:sz w:val="21"/>
                <w:szCs w:val="21"/>
              </w:rPr>
            </w:pPr>
            <w:r>
              <w:rPr>
                <w:rFonts w:hint="eastAsia" w:ascii="宋体" w:hAnsi="宋体" w:eastAsia="宋体" w:cs="宋体"/>
                <w:b w:val="0"/>
                <w:i w:val="0"/>
                <w:iCs w:val="0"/>
                <w:caps w:val="0"/>
                <w:color w:val="08090C"/>
                <w:spacing w:val="0"/>
                <w:sz w:val="21"/>
                <w:szCs w:val="21"/>
              </w:rPr>
              <w:t>0.0894</w:t>
            </w:r>
          </w:p>
        </w:tc>
        <w:tc>
          <w:tcPr>
            <w:tcW w:w="1007" w:type="dxa"/>
            <w:tcBorders>
              <w:top w:val="nil"/>
              <w:left w:val="nil"/>
              <w:bottom w:val="single" w:color="000000" w:themeColor="dark1" w:sz="12" w:space="0"/>
              <w:right w:val="nil"/>
            </w:tcBorders>
            <w:shd w:val="clear" w:color="auto" w:fill="FFFFFF"/>
            <w:vAlign w:val="center"/>
          </w:tcPr>
          <w:p w14:paraId="0DB01C5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i w:val="0"/>
                <w:color w:val="08090C"/>
                <w:sz w:val="21"/>
                <w:szCs w:val="21"/>
              </w:rPr>
            </w:pPr>
            <w:r>
              <w:rPr>
                <w:rFonts w:hint="eastAsia" w:ascii="宋体" w:hAnsi="宋体" w:eastAsia="宋体" w:cs="宋体"/>
                <w:b w:val="0"/>
                <w:i w:val="0"/>
                <w:iCs w:val="0"/>
                <w:caps w:val="0"/>
                <w:color w:val="08090C"/>
                <w:spacing w:val="0"/>
                <w:sz w:val="21"/>
                <w:szCs w:val="21"/>
                <w:lang w:val="en-US" w:eastAsia="zh-CN"/>
              </w:rPr>
              <w:t>-</w:t>
            </w:r>
            <w:r>
              <w:rPr>
                <w:rFonts w:hint="eastAsia" w:ascii="宋体" w:hAnsi="宋体" w:eastAsia="宋体" w:cs="宋体"/>
                <w:b w:val="0"/>
                <w:i w:val="0"/>
                <w:iCs w:val="0"/>
                <w:caps w:val="0"/>
                <w:color w:val="08090C"/>
                <w:spacing w:val="0"/>
                <w:sz w:val="21"/>
                <w:szCs w:val="21"/>
              </w:rPr>
              <w:t>0.0151</w:t>
            </w:r>
          </w:p>
        </w:tc>
        <w:tc>
          <w:tcPr>
            <w:tcW w:w="950" w:type="dxa"/>
            <w:tcBorders>
              <w:top w:val="nil"/>
              <w:left w:val="nil"/>
              <w:bottom w:val="single" w:color="000000" w:themeColor="dark1" w:sz="12" w:space="0"/>
              <w:right w:val="nil"/>
            </w:tcBorders>
            <w:shd w:val="clear" w:color="auto" w:fill="FFFFFF"/>
            <w:vAlign w:val="center"/>
          </w:tcPr>
          <w:p w14:paraId="684133E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iCs w:val="0"/>
                <w:caps w:val="0"/>
                <w:color w:val="08090C"/>
                <w:spacing w:val="0"/>
                <w:sz w:val="21"/>
                <w:szCs w:val="21"/>
              </w:rPr>
              <w:t>5.93</w:t>
            </w:r>
            <w:r>
              <w:rPr>
                <w:rFonts w:hint="eastAsia" w:ascii="宋体" w:hAnsi="宋体" w:eastAsia="宋体" w:cs="宋体"/>
                <w:b w:val="0"/>
                <w:i w:val="0"/>
                <w:iCs w:val="0"/>
                <w:caps w:val="0"/>
                <w:color w:val="08090C"/>
                <w:spacing w:val="0"/>
                <w:sz w:val="21"/>
                <w:szCs w:val="21"/>
                <w:lang w:val="en-US" w:eastAsia="zh-CN"/>
              </w:rPr>
              <w:t>39</w:t>
            </w:r>
          </w:p>
        </w:tc>
        <w:tc>
          <w:tcPr>
            <w:tcW w:w="1015" w:type="dxa"/>
            <w:tcBorders>
              <w:top w:val="nil"/>
              <w:left w:val="nil"/>
              <w:bottom w:val="single" w:color="000000" w:themeColor="dark1" w:sz="12" w:space="0"/>
              <w:right w:val="nil"/>
            </w:tcBorders>
            <w:shd w:val="clear" w:color="auto" w:fill="FFFFFF"/>
            <w:vAlign w:val="center"/>
          </w:tcPr>
          <w:p w14:paraId="0F0139A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i w:val="0"/>
                <w:color w:val="08090C"/>
                <w:sz w:val="21"/>
                <w:szCs w:val="21"/>
              </w:rPr>
            </w:pPr>
            <w:r>
              <w:rPr>
                <w:rFonts w:hint="eastAsia" w:ascii="宋体" w:hAnsi="宋体" w:eastAsia="宋体" w:cs="宋体"/>
                <w:b w:val="0"/>
                <w:i w:val="0"/>
                <w:iCs w:val="0"/>
                <w:caps w:val="0"/>
                <w:color w:val="08090C"/>
                <w:spacing w:val="0"/>
                <w:sz w:val="21"/>
                <w:szCs w:val="21"/>
              </w:rPr>
              <w:t>27312</w:t>
            </w:r>
          </w:p>
        </w:tc>
        <w:tc>
          <w:tcPr>
            <w:tcW w:w="1135" w:type="dxa"/>
            <w:tcBorders>
              <w:top w:val="nil"/>
              <w:left w:val="nil"/>
              <w:bottom w:val="single" w:color="000000" w:themeColor="dark1" w:sz="12" w:space="0"/>
              <w:right w:val="nil"/>
            </w:tcBorders>
            <w:shd w:val="clear" w:color="auto" w:fill="FFFFFF"/>
            <w:vAlign w:val="center"/>
          </w:tcPr>
          <w:p w14:paraId="7DBF0A3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i w:val="0"/>
                <w:color w:val="08090C"/>
                <w:sz w:val="21"/>
                <w:szCs w:val="21"/>
              </w:rPr>
            </w:pPr>
            <w:r>
              <w:rPr>
                <w:rFonts w:hint="eastAsia" w:ascii="宋体" w:hAnsi="宋体" w:eastAsia="宋体" w:cs="宋体"/>
                <w:b w:val="0"/>
                <w:i w:val="0"/>
                <w:iCs w:val="0"/>
                <w:caps w:val="0"/>
                <w:color w:val="08090C"/>
                <w:spacing w:val="0"/>
                <w:sz w:val="21"/>
                <w:szCs w:val="21"/>
              </w:rPr>
              <w:t>0.2666</w:t>
            </w:r>
          </w:p>
        </w:tc>
      </w:tr>
    </w:tbl>
    <w:p w14:paraId="6FEAF603">
      <w:pPr>
        <w:pStyle w:val="52"/>
        <w:bidi w:val="0"/>
        <w:rPr>
          <w:rFonts w:hint="eastAsia"/>
          <w:lang w:val="en-US" w:eastAsia="zh-CN"/>
        </w:rPr>
      </w:pPr>
      <w:r>
        <w:rPr>
          <w:rFonts w:hint="eastAsia"/>
          <w:lang w:val="en-US" w:eastAsia="zh-CN"/>
        </w:rPr>
        <w:t>(二）</w:t>
      </w:r>
      <w:r>
        <w:rPr>
          <w:rFonts w:hint="eastAsia"/>
        </w:rPr>
        <w:t>异质性分析</w:t>
      </w:r>
      <w:r>
        <w:rPr>
          <w:rFonts w:hint="eastAsia"/>
          <w:lang w:val="en-US" w:eastAsia="zh-CN"/>
        </w:rPr>
        <w:t>与机制检验</w:t>
      </w:r>
    </w:p>
    <w:p w14:paraId="7BCB7854">
      <w:pPr>
        <w:pStyle w:val="52"/>
        <w:keepNext w:val="0"/>
        <w:keepLines w:val="0"/>
        <w:pageBreakBefore w:val="0"/>
        <w:widowControl/>
        <w:numPr>
          <w:numId w:val="0"/>
        </w:numPr>
        <w:kinsoku/>
        <w:wordWrap/>
        <w:overflowPunct/>
        <w:topLinePunct w:val="0"/>
        <w:autoSpaceDE/>
        <w:autoSpaceDN/>
        <w:bidi w:val="0"/>
        <w:adjustRightInd/>
        <w:snapToGrid/>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基于企业异质性特征，本文从四大维度划分样本，检验核心效应的边界条件：</w:t>
      </w:r>
    </w:p>
    <w:p w14:paraId="1E7A253C">
      <w:pPr>
        <w:pStyle w:val="52"/>
        <w:keepNext w:val="0"/>
        <w:keepLines w:val="0"/>
        <w:pageBreakBefore w:val="0"/>
        <w:widowControl/>
        <w:numPr>
          <w:numId w:val="0"/>
        </w:numPr>
        <w:kinsoku/>
        <w:wordWrap/>
        <w:overflowPunct/>
        <w:topLinePunct w:val="0"/>
        <w:autoSpaceDE/>
        <w:autoSpaceDN/>
        <w:bidi w:val="0"/>
        <w:adjustRightInd/>
        <w:snapToGrid/>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产权性质：按实际控制人类型分为国有企业（1284 家，10272 个观测）与非国有企业（2559 家，18669 个观测）；</w:t>
      </w:r>
    </w:p>
    <w:p w14:paraId="59295A95">
      <w:pPr>
        <w:pStyle w:val="52"/>
        <w:keepNext w:val="0"/>
        <w:keepLines w:val="0"/>
        <w:pageBreakBefore w:val="0"/>
        <w:widowControl/>
        <w:numPr>
          <w:numId w:val="0"/>
        </w:numPr>
        <w:kinsoku/>
        <w:wordWrap/>
        <w:overflowPunct/>
        <w:topLinePunct w:val="0"/>
        <w:autoSpaceDE/>
        <w:autoSpaceDN/>
        <w:bidi w:val="0"/>
        <w:adjustRightInd/>
        <w:snapToGrid/>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地区差异：按注册地分为东部地区（2136 家，16893 个观测）与非东部地区（1707 家，12028 个观测）；</w:t>
      </w:r>
    </w:p>
    <w:p w14:paraId="61E98ECA">
      <w:pPr>
        <w:pStyle w:val="52"/>
        <w:keepNext w:val="0"/>
        <w:keepLines w:val="0"/>
        <w:pageBreakBefore w:val="0"/>
        <w:widowControl/>
        <w:numPr>
          <w:numId w:val="0"/>
        </w:numPr>
        <w:kinsoku/>
        <w:wordWrap/>
        <w:overflowPunct/>
        <w:topLinePunct w:val="0"/>
        <w:autoSpaceDE/>
        <w:autoSpaceDN/>
        <w:bidi w:val="0"/>
        <w:adjustRightInd/>
        <w:snapToGrid/>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技术属性：按行业代码分为高技术制造业（1052 家，8416 个观测）与传统制造业（2791 家，21205 个观测）；</w:t>
      </w:r>
    </w:p>
    <w:p w14:paraId="700D0F5E">
      <w:pPr>
        <w:pStyle w:val="52"/>
        <w:keepNext w:val="0"/>
        <w:keepLines w:val="0"/>
        <w:pageBreakBefore w:val="0"/>
        <w:widowControl/>
        <w:numPr>
          <w:numId w:val="0"/>
        </w:numPr>
        <w:kinsoku/>
        <w:wordWrap/>
        <w:overflowPunct/>
        <w:topLinePunct w:val="0"/>
        <w:autoSpaceDE/>
        <w:autoSpaceDN/>
        <w:bidi w:val="0"/>
        <w:adjustRightInd/>
        <w:snapToGrid/>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转化效率：按 AI 转化效率中位数（0.118）分为高转化组（1921 家，14810 个观测）与低转化组（1922 家，14811 个观测）。</w:t>
      </w:r>
    </w:p>
    <w:p w14:paraId="66DD283E">
      <w:pPr>
        <w:pStyle w:val="52"/>
        <w:keepNext w:val="0"/>
        <w:keepLines w:val="0"/>
        <w:pageBreakBefore w:val="0"/>
        <w:widowControl/>
        <w:numPr>
          <w:numId w:val="0"/>
        </w:numPr>
        <w:kinsoku/>
        <w:wordWrap/>
        <w:overflowPunct/>
        <w:topLinePunct w:val="0"/>
        <w:autoSpaceDE/>
        <w:autoSpaceDN/>
        <w:bidi w:val="0"/>
        <w:adjustRightInd/>
        <w:snapToGrid/>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分组回归均采用双向固定效应模型，控制变量与基准模型一致，确保结果可比性。</w:t>
      </w:r>
    </w:p>
    <w:tbl>
      <w:tblPr>
        <w:tblW w:w="1034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473"/>
        <w:gridCol w:w="1596"/>
        <w:gridCol w:w="1724"/>
        <w:gridCol w:w="966"/>
        <w:gridCol w:w="1071"/>
        <w:gridCol w:w="1071"/>
        <w:gridCol w:w="966"/>
        <w:gridCol w:w="669"/>
        <w:gridCol w:w="843"/>
      </w:tblGrid>
      <w:tr w14:paraId="2DCCD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1473" w:type="dxa"/>
            <w:tcBorders>
              <w:top w:val="single" w:color="auto" w:sz="12" w:space="0"/>
              <w:left w:val="nil"/>
              <w:bottom w:val="single" w:color="auto" w:sz="4" w:space="0"/>
              <w:right w:val="nil"/>
            </w:tcBorders>
            <w:shd w:val="clear" w:color="auto" w:fill="FFFFFF"/>
            <w:noWrap/>
            <w:vAlign w:val="center"/>
          </w:tcPr>
          <w:p w14:paraId="582459EF">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模型</w:t>
            </w:r>
          </w:p>
        </w:tc>
        <w:tc>
          <w:tcPr>
            <w:tcW w:w="1596" w:type="dxa"/>
            <w:tcBorders>
              <w:top w:val="single" w:color="auto" w:sz="12" w:space="0"/>
              <w:left w:val="nil"/>
              <w:bottom w:val="single" w:color="auto" w:sz="4" w:space="0"/>
              <w:right w:val="nil"/>
            </w:tcBorders>
            <w:shd w:val="clear" w:color="auto" w:fill="FFFFFF"/>
            <w:noWrap/>
            <w:vAlign w:val="center"/>
          </w:tcPr>
          <w:p w14:paraId="6FD6FB16">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被解释变量</w:t>
            </w:r>
          </w:p>
        </w:tc>
        <w:tc>
          <w:tcPr>
            <w:tcW w:w="1724" w:type="dxa"/>
            <w:tcBorders>
              <w:top w:val="single" w:color="auto" w:sz="12" w:space="0"/>
              <w:left w:val="nil"/>
              <w:bottom w:val="single" w:color="auto" w:sz="4" w:space="0"/>
              <w:right w:val="nil"/>
            </w:tcBorders>
            <w:shd w:val="clear" w:color="auto" w:fill="FFFFFF"/>
            <w:noWrap/>
            <w:vAlign w:val="center"/>
          </w:tcPr>
          <w:p w14:paraId="3AD21B9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核心解释变量</w:t>
            </w:r>
          </w:p>
        </w:tc>
        <w:tc>
          <w:tcPr>
            <w:tcW w:w="966" w:type="dxa"/>
            <w:tcBorders>
              <w:top w:val="single" w:color="auto" w:sz="12" w:space="0"/>
              <w:left w:val="nil"/>
              <w:bottom w:val="single" w:color="auto" w:sz="4" w:space="0"/>
              <w:right w:val="nil"/>
            </w:tcBorders>
            <w:shd w:val="clear" w:color="auto" w:fill="FFFFFF"/>
            <w:noWrap/>
            <w:vAlign w:val="center"/>
          </w:tcPr>
          <w:p w14:paraId="0632541D">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系数</w:t>
            </w:r>
          </w:p>
        </w:tc>
        <w:tc>
          <w:tcPr>
            <w:tcW w:w="1071" w:type="dxa"/>
            <w:tcBorders>
              <w:top w:val="single" w:color="auto" w:sz="12" w:space="0"/>
              <w:left w:val="nil"/>
              <w:bottom w:val="single" w:color="auto" w:sz="4" w:space="0"/>
              <w:right w:val="nil"/>
            </w:tcBorders>
            <w:shd w:val="clear" w:color="auto" w:fill="FFFFFF"/>
            <w:noWrap/>
            <w:vAlign w:val="center"/>
          </w:tcPr>
          <w:p w14:paraId="721ECD55">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标准误</w:t>
            </w:r>
          </w:p>
        </w:tc>
        <w:tc>
          <w:tcPr>
            <w:tcW w:w="1071" w:type="dxa"/>
            <w:tcBorders>
              <w:top w:val="single" w:color="auto" w:sz="12" w:space="0"/>
              <w:left w:val="nil"/>
              <w:bottom w:val="single" w:color="auto" w:sz="4" w:space="0"/>
              <w:right w:val="nil"/>
            </w:tcBorders>
            <w:shd w:val="clear" w:color="auto" w:fill="FFFFFF"/>
            <w:noWrap/>
            <w:vAlign w:val="center"/>
          </w:tcPr>
          <w:p w14:paraId="411A4654">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t值</w:t>
            </w:r>
          </w:p>
        </w:tc>
        <w:tc>
          <w:tcPr>
            <w:tcW w:w="966" w:type="dxa"/>
            <w:tcBorders>
              <w:top w:val="single" w:color="auto" w:sz="12" w:space="0"/>
              <w:left w:val="nil"/>
              <w:bottom w:val="single" w:color="auto" w:sz="4" w:space="0"/>
              <w:right w:val="nil"/>
            </w:tcBorders>
            <w:shd w:val="clear" w:color="auto" w:fill="FFFFFF"/>
            <w:noWrap/>
            <w:vAlign w:val="center"/>
          </w:tcPr>
          <w:p w14:paraId="471806D5">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p值</w:t>
            </w:r>
          </w:p>
        </w:tc>
        <w:tc>
          <w:tcPr>
            <w:tcW w:w="669" w:type="dxa"/>
            <w:tcBorders>
              <w:top w:val="single" w:color="auto" w:sz="12" w:space="0"/>
              <w:left w:val="nil"/>
              <w:bottom w:val="single" w:color="auto" w:sz="4" w:space="0"/>
              <w:right w:val="nil"/>
            </w:tcBorders>
            <w:shd w:val="clear"/>
            <w:noWrap/>
            <w:vAlign w:val="center"/>
          </w:tcPr>
          <w:p w14:paraId="7ED6BBC5">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sz w:val="21"/>
                <w:szCs w:val="21"/>
                <w:u w:val="none"/>
              </w:rPr>
            </w:pPr>
            <w:r>
              <w:rPr>
                <w:rFonts w:hint="eastAsia" w:ascii="宋体" w:hAnsi="宋体" w:eastAsia="宋体" w:cs="宋体"/>
                <w:b/>
                <w:i w:val="0"/>
                <w:iCs w:val="0"/>
                <w:color w:val="000000"/>
                <w:kern w:val="0"/>
                <w:sz w:val="21"/>
                <w:szCs w:val="21"/>
                <w:u w:val="none"/>
                <w:bdr w:val="none" w:color="auto" w:sz="0" w:space="0"/>
                <w:lang w:val="en-US" w:eastAsia="zh-CN" w:bidi="ar"/>
                <w14:ligatures w14:val="none"/>
              </w:rPr>
              <w:t>样本量</w:t>
            </w:r>
          </w:p>
        </w:tc>
        <w:tc>
          <w:tcPr>
            <w:tcW w:w="843" w:type="dxa"/>
            <w:tcBorders>
              <w:top w:val="single" w:color="auto" w:sz="12" w:space="0"/>
              <w:left w:val="nil"/>
              <w:bottom w:val="single" w:color="auto" w:sz="4" w:space="0"/>
              <w:right w:val="nil"/>
            </w:tcBorders>
            <w:shd w:val="clear"/>
            <w:noWrap/>
            <w:vAlign w:val="center"/>
          </w:tcPr>
          <w:p w14:paraId="0919DB4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sz w:val="21"/>
                <w:szCs w:val="22"/>
                <w:u w:val="none"/>
              </w:rPr>
            </w:pPr>
            <w:r>
              <w:rPr>
                <w:rFonts w:hint="eastAsia" w:ascii="宋体" w:hAnsi="宋体" w:eastAsia="宋体" w:cs="宋体"/>
                <w:b/>
                <w:i w:val="0"/>
                <w:iCs w:val="0"/>
                <w:color w:val="000000"/>
                <w:kern w:val="0"/>
                <w:sz w:val="21"/>
                <w:szCs w:val="22"/>
                <w:u w:val="none"/>
                <w:bdr w:val="none" w:color="auto" w:sz="0" w:space="0"/>
                <w:lang w:val="en-US" w:eastAsia="zh-CN" w:bidi="ar"/>
                <w14:ligatures w14:val="none"/>
              </w:rPr>
              <w:t>拟合指标</w:t>
            </w:r>
          </w:p>
        </w:tc>
      </w:tr>
      <w:tr w14:paraId="38EEE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73" w:type="dxa"/>
            <w:tcBorders>
              <w:top w:val="single" w:color="auto" w:sz="4" w:space="0"/>
              <w:left w:val="nil"/>
              <w:bottom w:val="nil"/>
              <w:right w:val="nil"/>
            </w:tcBorders>
            <w:shd w:val="clear" w:color="auto" w:fill="FFFFFF"/>
            <w:noWrap/>
            <w:vAlign w:val="center"/>
          </w:tcPr>
          <w:p w14:paraId="6EFEDC38">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实际AI应用</w:t>
            </w:r>
          </w:p>
        </w:tc>
        <w:tc>
          <w:tcPr>
            <w:tcW w:w="1596" w:type="dxa"/>
            <w:tcBorders>
              <w:top w:val="single" w:color="auto" w:sz="4" w:space="0"/>
              <w:left w:val="nil"/>
              <w:bottom w:val="nil"/>
              <w:right w:val="nil"/>
            </w:tcBorders>
            <w:shd w:val="clear" w:color="auto" w:fill="FFFFFF"/>
            <w:noWrap/>
            <w:vAlign w:val="center"/>
          </w:tcPr>
          <w:p w14:paraId="2515C955">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实际AI应用指数</w:t>
            </w:r>
          </w:p>
        </w:tc>
        <w:tc>
          <w:tcPr>
            <w:tcW w:w="1724" w:type="dxa"/>
            <w:tcBorders>
              <w:top w:val="single" w:color="auto" w:sz="4" w:space="0"/>
              <w:left w:val="nil"/>
              <w:bottom w:val="nil"/>
              <w:right w:val="nil"/>
            </w:tcBorders>
            <w:shd w:val="clear" w:color="auto" w:fill="FFFFFF"/>
            <w:noWrap/>
            <w:vAlign w:val="center"/>
          </w:tcPr>
          <w:p w14:paraId="76D8E7B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年报AI词频</w:t>
            </w:r>
          </w:p>
        </w:tc>
        <w:tc>
          <w:tcPr>
            <w:tcW w:w="966" w:type="dxa"/>
            <w:tcBorders>
              <w:top w:val="single" w:color="auto" w:sz="4" w:space="0"/>
              <w:left w:val="nil"/>
              <w:bottom w:val="nil"/>
              <w:right w:val="nil"/>
            </w:tcBorders>
            <w:shd w:val="clear" w:color="auto" w:fill="FFFFFF"/>
            <w:noWrap/>
            <w:vAlign w:val="center"/>
          </w:tcPr>
          <w:p w14:paraId="187B7198">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0.1089</w:t>
            </w:r>
          </w:p>
        </w:tc>
        <w:tc>
          <w:tcPr>
            <w:tcW w:w="1071" w:type="dxa"/>
            <w:tcBorders>
              <w:top w:val="single" w:color="auto" w:sz="4" w:space="0"/>
              <w:left w:val="nil"/>
              <w:bottom w:val="nil"/>
              <w:right w:val="nil"/>
            </w:tcBorders>
            <w:shd w:val="clear" w:color="auto" w:fill="FFFFFF"/>
            <w:noWrap/>
            <w:vAlign w:val="center"/>
          </w:tcPr>
          <w:p w14:paraId="031A49DA">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-0.011</w:t>
            </w:r>
          </w:p>
        </w:tc>
        <w:tc>
          <w:tcPr>
            <w:tcW w:w="1071" w:type="dxa"/>
            <w:tcBorders>
              <w:top w:val="single" w:color="auto" w:sz="4" w:space="0"/>
              <w:left w:val="nil"/>
              <w:bottom w:val="nil"/>
              <w:right w:val="nil"/>
            </w:tcBorders>
            <w:shd w:val="clear" w:color="auto" w:fill="FFFFFF"/>
            <w:noWrap/>
            <w:vAlign w:val="center"/>
          </w:tcPr>
          <w:p w14:paraId="57093D5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9.9236</w:t>
            </w:r>
          </w:p>
        </w:tc>
        <w:tc>
          <w:tcPr>
            <w:tcW w:w="966" w:type="dxa"/>
            <w:tcBorders>
              <w:top w:val="single" w:color="auto" w:sz="4" w:space="0"/>
              <w:left w:val="nil"/>
              <w:bottom w:val="nil"/>
              <w:right w:val="nil"/>
            </w:tcBorders>
            <w:shd w:val="clear" w:color="auto" w:fill="FFFFFF"/>
            <w:noWrap/>
            <w:vAlign w:val="center"/>
          </w:tcPr>
          <w:p w14:paraId="744D8C4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w:t>
            </w:r>
          </w:p>
        </w:tc>
        <w:tc>
          <w:tcPr>
            <w:tcW w:w="669" w:type="dxa"/>
            <w:tcBorders>
              <w:top w:val="single" w:color="auto" w:sz="4" w:space="0"/>
              <w:left w:val="nil"/>
              <w:bottom w:val="nil"/>
              <w:right w:val="nil"/>
            </w:tcBorders>
            <w:shd w:val="clear"/>
            <w:noWrap/>
            <w:vAlign w:val="center"/>
          </w:tcPr>
          <w:p w14:paraId="6E20A3D4">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14:ligatures w14:val="none"/>
              </w:rPr>
              <w:t>24318</w:t>
            </w:r>
          </w:p>
        </w:tc>
        <w:tc>
          <w:tcPr>
            <w:tcW w:w="843" w:type="dxa"/>
            <w:tcBorders>
              <w:top w:val="single" w:color="auto" w:sz="4" w:space="0"/>
              <w:left w:val="nil"/>
              <w:bottom w:val="nil"/>
              <w:right w:val="nil"/>
            </w:tcBorders>
            <w:shd w:val="clear"/>
            <w:noWrap/>
            <w:vAlign w:val="center"/>
          </w:tcPr>
          <w:p w14:paraId="3D91CB4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1"/>
                <w:szCs w:val="22"/>
                <w:u w:val="none"/>
              </w:rPr>
            </w:pPr>
            <w:r>
              <w:rPr>
                <w:rFonts w:hint="eastAsia" w:ascii="宋体" w:hAnsi="宋体" w:eastAsia="宋体" w:cs="宋体"/>
                <w:i w:val="0"/>
                <w:iCs w:val="0"/>
                <w:color w:val="000000"/>
                <w:kern w:val="0"/>
                <w:sz w:val="21"/>
                <w:szCs w:val="22"/>
                <w:u w:val="none"/>
                <w:bdr w:val="none" w:color="auto" w:sz="0" w:space="0"/>
                <w:lang w:val="en-US" w:eastAsia="zh-CN" w:bidi="ar"/>
                <w14:ligatures w14:val="none"/>
              </w:rPr>
              <w:t>0.2565</w:t>
            </w:r>
          </w:p>
        </w:tc>
      </w:tr>
      <w:tr w14:paraId="7BC81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73" w:type="dxa"/>
            <w:tcBorders>
              <w:top w:val="nil"/>
              <w:left w:val="nil"/>
              <w:bottom w:val="nil"/>
              <w:right w:val="nil"/>
            </w:tcBorders>
            <w:shd w:val="clear" w:color="auto" w:fill="FFFFFF"/>
            <w:noWrap/>
            <w:vAlign w:val="center"/>
          </w:tcPr>
          <w:p w14:paraId="2E58EA15">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资产周转率</w:t>
            </w:r>
          </w:p>
        </w:tc>
        <w:tc>
          <w:tcPr>
            <w:tcW w:w="1596" w:type="dxa"/>
            <w:tcBorders>
              <w:top w:val="nil"/>
              <w:left w:val="nil"/>
              <w:bottom w:val="nil"/>
              <w:right w:val="nil"/>
            </w:tcBorders>
            <w:shd w:val="clear" w:color="auto" w:fill="FFFFFF"/>
            <w:noWrap/>
            <w:vAlign w:val="center"/>
          </w:tcPr>
          <w:p w14:paraId="1E86B0A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资产周转率</w:t>
            </w:r>
          </w:p>
        </w:tc>
        <w:tc>
          <w:tcPr>
            <w:tcW w:w="1724" w:type="dxa"/>
            <w:tcBorders>
              <w:top w:val="nil"/>
              <w:left w:val="nil"/>
              <w:bottom w:val="nil"/>
              <w:right w:val="nil"/>
            </w:tcBorders>
            <w:shd w:val="clear" w:color="auto" w:fill="FFFFFF"/>
            <w:noWrap/>
            <w:vAlign w:val="center"/>
          </w:tcPr>
          <w:p w14:paraId="68457787">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年报AI词频</w:t>
            </w:r>
          </w:p>
        </w:tc>
        <w:tc>
          <w:tcPr>
            <w:tcW w:w="966" w:type="dxa"/>
            <w:tcBorders>
              <w:top w:val="nil"/>
              <w:left w:val="nil"/>
              <w:bottom w:val="nil"/>
              <w:right w:val="nil"/>
            </w:tcBorders>
            <w:shd w:val="clear" w:color="auto" w:fill="FFFFFF"/>
            <w:noWrap/>
            <w:vAlign w:val="center"/>
          </w:tcPr>
          <w:p w14:paraId="0E058895">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0.0226</w:t>
            </w:r>
          </w:p>
        </w:tc>
        <w:tc>
          <w:tcPr>
            <w:tcW w:w="1071" w:type="dxa"/>
            <w:tcBorders>
              <w:top w:val="nil"/>
              <w:left w:val="nil"/>
              <w:bottom w:val="nil"/>
              <w:right w:val="nil"/>
            </w:tcBorders>
            <w:shd w:val="clear" w:color="auto" w:fill="FFFFFF"/>
            <w:noWrap/>
            <w:vAlign w:val="center"/>
          </w:tcPr>
          <w:p w14:paraId="1E68F708">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-0.0036</w:t>
            </w:r>
          </w:p>
        </w:tc>
        <w:tc>
          <w:tcPr>
            <w:tcW w:w="1071" w:type="dxa"/>
            <w:tcBorders>
              <w:top w:val="nil"/>
              <w:left w:val="nil"/>
              <w:bottom w:val="nil"/>
              <w:right w:val="nil"/>
            </w:tcBorders>
            <w:shd w:val="clear" w:color="auto" w:fill="FFFFFF"/>
            <w:noWrap/>
            <w:vAlign w:val="center"/>
          </w:tcPr>
          <w:p w14:paraId="2966FF07">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6.2663</w:t>
            </w:r>
          </w:p>
        </w:tc>
        <w:tc>
          <w:tcPr>
            <w:tcW w:w="966" w:type="dxa"/>
            <w:tcBorders>
              <w:top w:val="nil"/>
              <w:left w:val="nil"/>
              <w:bottom w:val="nil"/>
              <w:right w:val="nil"/>
            </w:tcBorders>
            <w:shd w:val="clear" w:color="auto" w:fill="FFFFFF"/>
            <w:noWrap/>
            <w:vAlign w:val="center"/>
          </w:tcPr>
          <w:p w14:paraId="7A24AA6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w:t>
            </w:r>
          </w:p>
        </w:tc>
        <w:tc>
          <w:tcPr>
            <w:tcW w:w="669" w:type="dxa"/>
            <w:tcBorders>
              <w:top w:val="nil"/>
              <w:left w:val="nil"/>
              <w:bottom w:val="nil"/>
              <w:right w:val="nil"/>
            </w:tcBorders>
            <w:shd w:val="clear"/>
            <w:noWrap/>
            <w:vAlign w:val="center"/>
          </w:tcPr>
          <w:p w14:paraId="3DA6E6C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14:ligatures w14:val="none"/>
              </w:rPr>
              <w:t>26870</w:t>
            </w:r>
          </w:p>
        </w:tc>
        <w:tc>
          <w:tcPr>
            <w:tcW w:w="843" w:type="dxa"/>
            <w:tcBorders>
              <w:top w:val="nil"/>
              <w:left w:val="nil"/>
              <w:bottom w:val="nil"/>
              <w:right w:val="nil"/>
            </w:tcBorders>
            <w:shd w:val="clear"/>
            <w:noWrap/>
            <w:vAlign w:val="center"/>
          </w:tcPr>
          <w:p w14:paraId="67B70E9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1"/>
                <w:szCs w:val="22"/>
                <w:u w:val="none"/>
              </w:rPr>
            </w:pPr>
            <w:r>
              <w:rPr>
                <w:rFonts w:hint="eastAsia" w:ascii="宋体" w:hAnsi="宋体" w:eastAsia="宋体" w:cs="宋体"/>
                <w:i w:val="0"/>
                <w:iCs w:val="0"/>
                <w:color w:val="000000"/>
                <w:kern w:val="0"/>
                <w:sz w:val="21"/>
                <w:szCs w:val="22"/>
                <w:u w:val="none"/>
                <w:bdr w:val="none" w:color="auto" w:sz="0" w:space="0"/>
                <w:lang w:val="en-US" w:eastAsia="zh-CN" w:bidi="ar"/>
                <w14:ligatures w14:val="none"/>
              </w:rPr>
              <w:t>0.2827</w:t>
            </w:r>
          </w:p>
        </w:tc>
      </w:tr>
      <w:tr w14:paraId="3CE5A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73" w:type="dxa"/>
            <w:tcBorders>
              <w:top w:val="nil"/>
              <w:left w:val="nil"/>
              <w:bottom w:val="nil"/>
              <w:right w:val="nil"/>
            </w:tcBorders>
            <w:shd w:val="clear" w:color="auto" w:fill="FFFFFF"/>
            <w:noWrap/>
            <w:vAlign w:val="center"/>
          </w:tcPr>
          <w:p w14:paraId="020EF6D4">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劳动生产率</w:t>
            </w:r>
          </w:p>
        </w:tc>
        <w:tc>
          <w:tcPr>
            <w:tcW w:w="1596" w:type="dxa"/>
            <w:tcBorders>
              <w:top w:val="nil"/>
              <w:left w:val="nil"/>
              <w:bottom w:val="nil"/>
              <w:right w:val="nil"/>
            </w:tcBorders>
            <w:shd w:val="clear" w:color="auto" w:fill="FFFFFF"/>
            <w:noWrap/>
            <w:vAlign w:val="center"/>
          </w:tcPr>
          <w:p w14:paraId="566CC247">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劳动生产率</w:t>
            </w:r>
          </w:p>
        </w:tc>
        <w:tc>
          <w:tcPr>
            <w:tcW w:w="1724" w:type="dxa"/>
            <w:tcBorders>
              <w:top w:val="nil"/>
              <w:left w:val="nil"/>
              <w:bottom w:val="nil"/>
              <w:right w:val="nil"/>
            </w:tcBorders>
            <w:shd w:val="clear" w:color="auto" w:fill="FFFFFF"/>
            <w:noWrap/>
            <w:vAlign w:val="center"/>
          </w:tcPr>
          <w:p w14:paraId="58D5D18A">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年报AI词频</w:t>
            </w:r>
          </w:p>
        </w:tc>
        <w:tc>
          <w:tcPr>
            <w:tcW w:w="966" w:type="dxa"/>
            <w:tcBorders>
              <w:top w:val="nil"/>
              <w:left w:val="nil"/>
              <w:bottom w:val="nil"/>
              <w:right w:val="nil"/>
            </w:tcBorders>
            <w:shd w:val="clear" w:color="auto" w:fill="FFFFFF"/>
            <w:noWrap/>
            <w:vAlign w:val="center"/>
          </w:tcPr>
          <w:p w14:paraId="0318AE45">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0.0066</w:t>
            </w:r>
          </w:p>
        </w:tc>
        <w:tc>
          <w:tcPr>
            <w:tcW w:w="1071" w:type="dxa"/>
            <w:tcBorders>
              <w:top w:val="nil"/>
              <w:left w:val="nil"/>
              <w:bottom w:val="nil"/>
              <w:right w:val="nil"/>
            </w:tcBorders>
            <w:shd w:val="clear" w:color="auto" w:fill="FFFFFF"/>
            <w:noWrap/>
            <w:vAlign w:val="center"/>
          </w:tcPr>
          <w:p w14:paraId="3B177BF5">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-0.0078</w:t>
            </w:r>
          </w:p>
        </w:tc>
        <w:tc>
          <w:tcPr>
            <w:tcW w:w="1071" w:type="dxa"/>
            <w:tcBorders>
              <w:top w:val="nil"/>
              <w:left w:val="nil"/>
              <w:bottom w:val="nil"/>
              <w:right w:val="nil"/>
            </w:tcBorders>
            <w:shd w:val="clear" w:color="auto" w:fill="FFFFFF"/>
            <w:noWrap/>
            <w:vAlign w:val="center"/>
          </w:tcPr>
          <w:p w14:paraId="644B647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0.8451</w:t>
            </w:r>
          </w:p>
        </w:tc>
        <w:tc>
          <w:tcPr>
            <w:tcW w:w="966" w:type="dxa"/>
            <w:tcBorders>
              <w:top w:val="nil"/>
              <w:left w:val="nil"/>
              <w:bottom w:val="nil"/>
              <w:right w:val="nil"/>
            </w:tcBorders>
            <w:shd w:val="clear" w:color="auto" w:fill="FFFFFF"/>
            <w:noWrap/>
            <w:vAlign w:val="center"/>
          </w:tcPr>
          <w:p w14:paraId="37A6CCC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0.398</w:t>
            </w:r>
          </w:p>
        </w:tc>
        <w:tc>
          <w:tcPr>
            <w:tcW w:w="669" w:type="dxa"/>
            <w:tcBorders>
              <w:top w:val="nil"/>
              <w:left w:val="nil"/>
              <w:bottom w:val="nil"/>
              <w:right w:val="nil"/>
            </w:tcBorders>
            <w:shd w:val="clear"/>
            <w:noWrap/>
            <w:vAlign w:val="center"/>
          </w:tcPr>
          <w:p w14:paraId="61F3CA18">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14:ligatures w14:val="none"/>
              </w:rPr>
              <w:t>26841</w:t>
            </w:r>
          </w:p>
        </w:tc>
        <w:tc>
          <w:tcPr>
            <w:tcW w:w="843" w:type="dxa"/>
            <w:tcBorders>
              <w:top w:val="nil"/>
              <w:left w:val="nil"/>
              <w:bottom w:val="nil"/>
              <w:right w:val="nil"/>
            </w:tcBorders>
            <w:shd w:val="clear"/>
            <w:noWrap/>
            <w:vAlign w:val="center"/>
          </w:tcPr>
          <w:p w14:paraId="53E4FF1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1"/>
                <w:szCs w:val="22"/>
                <w:u w:val="none"/>
              </w:rPr>
            </w:pPr>
            <w:r>
              <w:rPr>
                <w:rFonts w:hint="eastAsia" w:ascii="宋体" w:hAnsi="宋体" w:eastAsia="宋体" w:cs="宋体"/>
                <w:i w:val="0"/>
                <w:iCs w:val="0"/>
                <w:color w:val="000000"/>
                <w:kern w:val="0"/>
                <w:sz w:val="21"/>
                <w:szCs w:val="22"/>
                <w:u w:val="none"/>
                <w:bdr w:val="none" w:color="auto" w:sz="0" w:space="0"/>
                <w:lang w:val="en-US" w:eastAsia="zh-CN" w:bidi="ar"/>
                <w14:ligatures w14:val="none"/>
              </w:rPr>
              <w:t>0.3537</w:t>
            </w:r>
          </w:p>
        </w:tc>
      </w:tr>
      <w:tr w14:paraId="54BE6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73" w:type="dxa"/>
            <w:tcBorders>
              <w:top w:val="nil"/>
              <w:left w:val="nil"/>
              <w:bottom w:val="nil"/>
              <w:right w:val="nil"/>
            </w:tcBorders>
            <w:shd w:val="clear" w:color="auto" w:fill="FFFFFF"/>
            <w:noWrap/>
            <w:vAlign w:val="center"/>
          </w:tcPr>
          <w:p w14:paraId="562E30E8">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TFP</w:t>
            </w:r>
          </w:p>
        </w:tc>
        <w:tc>
          <w:tcPr>
            <w:tcW w:w="1596" w:type="dxa"/>
            <w:tcBorders>
              <w:top w:val="nil"/>
              <w:left w:val="nil"/>
              <w:bottom w:val="nil"/>
              <w:right w:val="nil"/>
            </w:tcBorders>
            <w:shd w:val="clear" w:color="auto" w:fill="FFFFFF"/>
            <w:noWrap/>
            <w:vAlign w:val="center"/>
          </w:tcPr>
          <w:p w14:paraId="278C0FC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TFP</w:t>
            </w:r>
          </w:p>
        </w:tc>
        <w:tc>
          <w:tcPr>
            <w:tcW w:w="1724" w:type="dxa"/>
            <w:tcBorders>
              <w:top w:val="nil"/>
              <w:left w:val="nil"/>
              <w:bottom w:val="nil"/>
              <w:right w:val="nil"/>
            </w:tcBorders>
            <w:shd w:val="clear" w:color="auto" w:fill="FFFFFF"/>
            <w:noWrap/>
            <w:vAlign w:val="center"/>
          </w:tcPr>
          <w:p w14:paraId="7BA22AF8">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年报AI词频</w:t>
            </w:r>
          </w:p>
        </w:tc>
        <w:tc>
          <w:tcPr>
            <w:tcW w:w="966" w:type="dxa"/>
            <w:tcBorders>
              <w:top w:val="nil"/>
              <w:left w:val="nil"/>
              <w:bottom w:val="nil"/>
              <w:right w:val="nil"/>
            </w:tcBorders>
            <w:shd w:val="clear" w:color="auto" w:fill="FFFFFF"/>
            <w:noWrap/>
            <w:vAlign w:val="center"/>
          </w:tcPr>
          <w:p w14:paraId="0EDBACDE">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0.0872</w:t>
            </w:r>
          </w:p>
        </w:tc>
        <w:tc>
          <w:tcPr>
            <w:tcW w:w="1071" w:type="dxa"/>
            <w:tcBorders>
              <w:top w:val="nil"/>
              <w:left w:val="nil"/>
              <w:bottom w:val="nil"/>
              <w:right w:val="nil"/>
            </w:tcBorders>
            <w:shd w:val="clear" w:color="auto" w:fill="FFFFFF"/>
            <w:noWrap/>
            <w:vAlign w:val="center"/>
          </w:tcPr>
          <w:p w14:paraId="0EED7D8E">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-0.0074</w:t>
            </w:r>
          </w:p>
        </w:tc>
        <w:tc>
          <w:tcPr>
            <w:tcW w:w="1071" w:type="dxa"/>
            <w:tcBorders>
              <w:top w:val="nil"/>
              <w:left w:val="nil"/>
              <w:bottom w:val="nil"/>
              <w:right w:val="nil"/>
            </w:tcBorders>
            <w:shd w:val="clear" w:color="auto" w:fill="FFFFFF"/>
            <w:noWrap/>
            <w:vAlign w:val="center"/>
          </w:tcPr>
          <w:p w14:paraId="273C9705">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11.7084</w:t>
            </w:r>
          </w:p>
        </w:tc>
        <w:tc>
          <w:tcPr>
            <w:tcW w:w="966" w:type="dxa"/>
            <w:tcBorders>
              <w:top w:val="nil"/>
              <w:left w:val="nil"/>
              <w:bottom w:val="nil"/>
              <w:right w:val="nil"/>
            </w:tcBorders>
            <w:shd w:val="clear" w:color="auto" w:fill="FFFFFF"/>
            <w:noWrap/>
            <w:vAlign w:val="center"/>
          </w:tcPr>
          <w:p w14:paraId="3B571E37">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w:t>
            </w:r>
          </w:p>
        </w:tc>
        <w:tc>
          <w:tcPr>
            <w:tcW w:w="669" w:type="dxa"/>
            <w:tcBorders>
              <w:top w:val="nil"/>
              <w:left w:val="nil"/>
              <w:bottom w:val="nil"/>
              <w:right w:val="nil"/>
            </w:tcBorders>
            <w:shd w:val="clear"/>
            <w:noWrap/>
            <w:vAlign w:val="center"/>
          </w:tcPr>
          <w:p w14:paraId="51C168D6">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14:ligatures w14:val="none"/>
              </w:rPr>
              <w:t>26782</w:t>
            </w:r>
          </w:p>
        </w:tc>
        <w:tc>
          <w:tcPr>
            <w:tcW w:w="843" w:type="dxa"/>
            <w:tcBorders>
              <w:top w:val="nil"/>
              <w:left w:val="nil"/>
              <w:bottom w:val="nil"/>
              <w:right w:val="nil"/>
            </w:tcBorders>
            <w:shd w:val="clear"/>
            <w:noWrap/>
            <w:vAlign w:val="center"/>
          </w:tcPr>
          <w:p w14:paraId="1533B40D">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1"/>
                <w:szCs w:val="22"/>
                <w:u w:val="none"/>
              </w:rPr>
            </w:pPr>
            <w:r>
              <w:rPr>
                <w:rFonts w:hint="eastAsia" w:ascii="宋体" w:hAnsi="宋体" w:eastAsia="宋体" w:cs="宋体"/>
                <w:i w:val="0"/>
                <w:iCs w:val="0"/>
                <w:color w:val="000000"/>
                <w:kern w:val="0"/>
                <w:sz w:val="21"/>
                <w:szCs w:val="22"/>
                <w:u w:val="none"/>
                <w:bdr w:val="none" w:color="auto" w:sz="0" w:space="0"/>
                <w:lang w:val="en-US" w:eastAsia="zh-CN" w:bidi="ar"/>
                <w14:ligatures w14:val="none"/>
              </w:rPr>
              <w:t>0.3094</w:t>
            </w:r>
          </w:p>
        </w:tc>
      </w:tr>
      <w:tr w14:paraId="77ABD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73" w:type="dxa"/>
            <w:tcBorders>
              <w:top w:val="nil"/>
              <w:left w:val="nil"/>
              <w:bottom w:val="nil"/>
              <w:right w:val="nil"/>
            </w:tcBorders>
            <w:shd w:val="clear" w:color="auto" w:fill="FFFFFF"/>
            <w:noWrap/>
            <w:vAlign w:val="center"/>
          </w:tcPr>
          <w:p w14:paraId="31FA8CED">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效率子指数</w:t>
            </w:r>
          </w:p>
        </w:tc>
        <w:tc>
          <w:tcPr>
            <w:tcW w:w="1596" w:type="dxa"/>
            <w:tcBorders>
              <w:top w:val="nil"/>
              <w:left w:val="nil"/>
              <w:bottom w:val="nil"/>
              <w:right w:val="nil"/>
            </w:tcBorders>
            <w:shd w:val="clear" w:color="auto" w:fill="FFFFFF"/>
            <w:noWrap/>
            <w:vAlign w:val="center"/>
          </w:tcPr>
          <w:p w14:paraId="021D90B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效率子指数</w:t>
            </w:r>
          </w:p>
        </w:tc>
        <w:tc>
          <w:tcPr>
            <w:tcW w:w="1724" w:type="dxa"/>
            <w:tcBorders>
              <w:top w:val="nil"/>
              <w:left w:val="nil"/>
              <w:bottom w:val="nil"/>
              <w:right w:val="nil"/>
            </w:tcBorders>
            <w:shd w:val="clear" w:color="auto" w:fill="FFFFFF"/>
            <w:noWrap/>
            <w:vAlign w:val="center"/>
          </w:tcPr>
          <w:p w14:paraId="1D61E4AE">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综合AI应用指数</w:t>
            </w:r>
          </w:p>
        </w:tc>
        <w:tc>
          <w:tcPr>
            <w:tcW w:w="966" w:type="dxa"/>
            <w:tcBorders>
              <w:top w:val="nil"/>
              <w:left w:val="nil"/>
              <w:bottom w:val="nil"/>
              <w:right w:val="nil"/>
            </w:tcBorders>
            <w:shd w:val="clear" w:color="auto" w:fill="FFFFFF"/>
            <w:noWrap/>
            <w:vAlign w:val="center"/>
          </w:tcPr>
          <w:p w14:paraId="0BFA005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0.0725</w:t>
            </w:r>
          </w:p>
        </w:tc>
        <w:tc>
          <w:tcPr>
            <w:tcW w:w="1071" w:type="dxa"/>
            <w:tcBorders>
              <w:top w:val="nil"/>
              <w:left w:val="nil"/>
              <w:bottom w:val="nil"/>
              <w:right w:val="nil"/>
            </w:tcBorders>
            <w:shd w:val="clear" w:color="auto" w:fill="FFFFFF"/>
            <w:noWrap/>
            <w:vAlign w:val="center"/>
          </w:tcPr>
          <w:p w14:paraId="35B5851E">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-0.0165</w:t>
            </w:r>
          </w:p>
        </w:tc>
        <w:tc>
          <w:tcPr>
            <w:tcW w:w="1071" w:type="dxa"/>
            <w:tcBorders>
              <w:top w:val="nil"/>
              <w:left w:val="nil"/>
              <w:bottom w:val="nil"/>
              <w:right w:val="nil"/>
            </w:tcBorders>
            <w:shd w:val="clear" w:color="auto" w:fill="FFFFFF"/>
            <w:noWrap/>
            <w:vAlign w:val="center"/>
          </w:tcPr>
          <w:p w14:paraId="5AAA4E5E">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4.3869</w:t>
            </w:r>
          </w:p>
        </w:tc>
        <w:tc>
          <w:tcPr>
            <w:tcW w:w="966" w:type="dxa"/>
            <w:tcBorders>
              <w:top w:val="nil"/>
              <w:left w:val="nil"/>
              <w:bottom w:val="nil"/>
              <w:right w:val="nil"/>
            </w:tcBorders>
            <w:shd w:val="clear" w:color="auto" w:fill="FFFFFF"/>
            <w:noWrap/>
            <w:vAlign w:val="center"/>
          </w:tcPr>
          <w:p w14:paraId="677A6B40">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w:t>
            </w:r>
          </w:p>
        </w:tc>
        <w:tc>
          <w:tcPr>
            <w:tcW w:w="669" w:type="dxa"/>
            <w:tcBorders>
              <w:top w:val="nil"/>
              <w:left w:val="nil"/>
              <w:bottom w:val="nil"/>
              <w:right w:val="nil"/>
            </w:tcBorders>
            <w:shd w:val="clear"/>
            <w:noWrap/>
            <w:vAlign w:val="center"/>
          </w:tcPr>
          <w:p w14:paraId="3A7A79B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14:ligatures w14:val="none"/>
              </w:rPr>
              <w:t>27313</w:t>
            </w:r>
          </w:p>
        </w:tc>
        <w:tc>
          <w:tcPr>
            <w:tcW w:w="843" w:type="dxa"/>
            <w:tcBorders>
              <w:top w:val="nil"/>
              <w:left w:val="nil"/>
              <w:bottom w:val="nil"/>
              <w:right w:val="nil"/>
            </w:tcBorders>
            <w:shd w:val="clear"/>
            <w:noWrap/>
            <w:vAlign w:val="center"/>
          </w:tcPr>
          <w:p w14:paraId="5CB58F2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1"/>
                <w:szCs w:val="22"/>
                <w:u w:val="none"/>
              </w:rPr>
            </w:pPr>
            <w:r>
              <w:rPr>
                <w:rFonts w:hint="eastAsia" w:ascii="宋体" w:hAnsi="宋体" w:eastAsia="宋体" w:cs="宋体"/>
                <w:i w:val="0"/>
                <w:iCs w:val="0"/>
                <w:color w:val="000000"/>
                <w:kern w:val="0"/>
                <w:sz w:val="21"/>
                <w:szCs w:val="22"/>
                <w:u w:val="none"/>
                <w:bdr w:val="none" w:color="auto" w:sz="0" w:space="0"/>
                <w:lang w:val="en-US" w:eastAsia="zh-CN" w:bidi="ar"/>
                <w14:ligatures w14:val="none"/>
              </w:rPr>
              <w:t>0.345</w:t>
            </w:r>
          </w:p>
        </w:tc>
      </w:tr>
      <w:tr w14:paraId="58A51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73" w:type="dxa"/>
            <w:tcBorders>
              <w:top w:val="nil"/>
              <w:left w:val="nil"/>
              <w:bottom w:val="nil"/>
              <w:right w:val="nil"/>
            </w:tcBorders>
            <w:shd w:val="clear" w:color="auto" w:fill="FFFFFF"/>
            <w:noWrap/>
            <w:vAlign w:val="center"/>
          </w:tcPr>
          <w:p w14:paraId="0D2B72CE">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质量子指数</w:t>
            </w:r>
          </w:p>
        </w:tc>
        <w:tc>
          <w:tcPr>
            <w:tcW w:w="1596" w:type="dxa"/>
            <w:tcBorders>
              <w:top w:val="nil"/>
              <w:left w:val="nil"/>
              <w:bottom w:val="nil"/>
              <w:right w:val="nil"/>
            </w:tcBorders>
            <w:shd w:val="clear" w:color="auto" w:fill="FFFFFF"/>
            <w:noWrap/>
            <w:vAlign w:val="center"/>
          </w:tcPr>
          <w:p w14:paraId="36240D99">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质量子指数</w:t>
            </w:r>
          </w:p>
        </w:tc>
        <w:tc>
          <w:tcPr>
            <w:tcW w:w="1724" w:type="dxa"/>
            <w:tcBorders>
              <w:top w:val="nil"/>
              <w:left w:val="nil"/>
              <w:bottom w:val="nil"/>
              <w:right w:val="nil"/>
            </w:tcBorders>
            <w:shd w:val="clear" w:color="auto" w:fill="FFFFFF"/>
            <w:noWrap/>
            <w:vAlign w:val="center"/>
          </w:tcPr>
          <w:p w14:paraId="013D3614">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年报AI词频</w:t>
            </w:r>
          </w:p>
        </w:tc>
        <w:tc>
          <w:tcPr>
            <w:tcW w:w="966" w:type="dxa"/>
            <w:tcBorders>
              <w:top w:val="nil"/>
              <w:left w:val="nil"/>
              <w:bottom w:val="nil"/>
              <w:right w:val="nil"/>
            </w:tcBorders>
            <w:shd w:val="clear" w:color="auto" w:fill="FFFFFF"/>
            <w:noWrap/>
            <w:vAlign w:val="center"/>
          </w:tcPr>
          <w:p w14:paraId="249A9006">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0.0486</w:t>
            </w:r>
          </w:p>
        </w:tc>
        <w:tc>
          <w:tcPr>
            <w:tcW w:w="1071" w:type="dxa"/>
            <w:tcBorders>
              <w:top w:val="nil"/>
              <w:left w:val="nil"/>
              <w:bottom w:val="nil"/>
              <w:right w:val="nil"/>
            </w:tcBorders>
            <w:shd w:val="clear" w:color="auto" w:fill="FFFFFF"/>
            <w:noWrap/>
            <w:vAlign w:val="center"/>
          </w:tcPr>
          <w:p w14:paraId="624CCDA7">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-0.0079</w:t>
            </w:r>
          </w:p>
        </w:tc>
        <w:tc>
          <w:tcPr>
            <w:tcW w:w="1071" w:type="dxa"/>
            <w:tcBorders>
              <w:top w:val="nil"/>
              <w:left w:val="nil"/>
              <w:bottom w:val="nil"/>
              <w:right w:val="nil"/>
            </w:tcBorders>
            <w:shd w:val="clear" w:color="auto" w:fill="FFFFFF"/>
            <w:noWrap/>
            <w:vAlign w:val="center"/>
          </w:tcPr>
          <w:p w14:paraId="7E0751BE">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6.191</w:t>
            </w:r>
          </w:p>
        </w:tc>
        <w:tc>
          <w:tcPr>
            <w:tcW w:w="966" w:type="dxa"/>
            <w:tcBorders>
              <w:top w:val="nil"/>
              <w:left w:val="nil"/>
              <w:bottom w:val="nil"/>
              <w:right w:val="nil"/>
            </w:tcBorders>
            <w:shd w:val="clear" w:color="auto" w:fill="FFFFFF"/>
            <w:noWrap/>
            <w:vAlign w:val="center"/>
          </w:tcPr>
          <w:p w14:paraId="1B084E9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w:t>
            </w:r>
          </w:p>
        </w:tc>
        <w:tc>
          <w:tcPr>
            <w:tcW w:w="669" w:type="dxa"/>
            <w:tcBorders>
              <w:top w:val="nil"/>
              <w:left w:val="nil"/>
              <w:bottom w:val="nil"/>
              <w:right w:val="nil"/>
            </w:tcBorders>
            <w:shd w:val="clear"/>
            <w:noWrap/>
            <w:vAlign w:val="center"/>
          </w:tcPr>
          <w:p w14:paraId="252E8535">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14:ligatures w14:val="none"/>
              </w:rPr>
              <w:t>26869</w:t>
            </w:r>
          </w:p>
        </w:tc>
        <w:tc>
          <w:tcPr>
            <w:tcW w:w="843" w:type="dxa"/>
            <w:tcBorders>
              <w:top w:val="nil"/>
              <w:left w:val="nil"/>
              <w:bottom w:val="nil"/>
              <w:right w:val="nil"/>
            </w:tcBorders>
            <w:shd w:val="clear"/>
            <w:noWrap/>
            <w:vAlign w:val="center"/>
          </w:tcPr>
          <w:p w14:paraId="592DBC4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1"/>
                <w:szCs w:val="22"/>
                <w:u w:val="none"/>
              </w:rPr>
            </w:pPr>
            <w:r>
              <w:rPr>
                <w:rFonts w:hint="eastAsia" w:ascii="宋体" w:hAnsi="宋体" w:eastAsia="宋体" w:cs="宋体"/>
                <w:i w:val="0"/>
                <w:iCs w:val="0"/>
                <w:color w:val="000000"/>
                <w:kern w:val="0"/>
                <w:sz w:val="21"/>
                <w:szCs w:val="22"/>
                <w:u w:val="none"/>
                <w:bdr w:val="none" w:color="auto" w:sz="0" w:space="0"/>
                <w:lang w:val="en-US" w:eastAsia="zh-CN" w:bidi="ar"/>
                <w14:ligatures w14:val="none"/>
              </w:rPr>
              <w:t>0.3203</w:t>
            </w:r>
          </w:p>
        </w:tc>
      </w:tr>
      <w:tr w14:paraId="0FA87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73" w:type="dxa"/>
            <w:tcBorders>
              <w:top w:val="nil"/>
              <w:left w:val="nil"/>
              <w:bottom w:val="single" w:color="auto" w:sz="12" w:space="0"/>
              <w:right w:val="nil"/>
            </w:tcBorders>
            <w:shd w:val="clear" w:color="auto" w:fill="FFFFFF"/>
            <w:noWrap/>
            <w:vAlign w:val="center"/>
          </w:tcPr>
          <w:p w14:paraId="33BD52C6">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AI落地转化效率</w:t>
            </w:r>
          </w:p>
        </w:tc>
        <w:tc>
          <w:tcPr>
            <w:tcW w:w="1596" w:type="dxa"/>
            <w:tcBorders>
              <w:top w:val="nil"/>
              <w:left w:val="nil"/>
              <w:bottom w:val="single" w:color="auto" w:sz="12" w:space="0"/>
              <w:right w:val="nil"/>
            </w:tcBorders>
            <w:shd w:val="clear" w:color="auto" w:fill="FFFFFF"/>
            <w:noWrap/>
            <w:vAlign w:val="center"/>
          </w:tcPr>
          <w:p w14:paraId="7C37C3C7">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提质增效指数</w:t>
            </w:r>
          </w:p>
        </w:tc>
        <w:tc>
          <w:tcPr>
            <w:tcW w:w="1724" w:type="dxa"/>
            <w:tcBorders>
              <w:top w:val="nil"/>
              <w:left w:val="nil"/>
              <w:bottom w:val="single" w:color="auto" w:sz="12" w:space="0"/>
              <w:right w:val="nil"/>
            </w:tcBorders>
            <w:shd w:val="clear" w:color="auto" w:fill="FFFFFF"/>
            <w:noWrap/>
            <w:vAlign w:val="center"/>
          </w:tcPr>
          <w:p w14:paraId="32ADF5E6">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AI落地转化效率</w:t>
            </w:r>
          </w:p>
        </w:tc>
        <w:tc>
          <w:tcPr>
            <w:tcW w:w="966" w:type="dxa"/>
            <w:tcBorders>
              <w:top w:val="nil"/>
              <w:left w:val="nil"/>
              <w:bottom w:val="single" w:color="auto" w:sz="12" w:space="0"/>
              <w:right w:val="nil"/>
            </w:tcBorders>
            <w:shd w:val="clear" w:color="auto" w:fill="FFFFFF"/>
            <w:noWrap/>
            <w:vAlign w:val="center"/>
          </w:tcPr>
          <w:p w14:paraId="328EE469">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0.0086</w:t>
            </w:r>
          </w:p>
        </w:tc>
        <w:tc>
          <w:tcPr>
            <w:tcW w:w="1071" w:type="dxa"/>
            <w:tcBorders>
              <w:top w:val="nil"/>
              <w:left w:val="nil"/>
              <w:bottom w:val="single" w:color="auto" w:sz="12" w:space="0"/>
              <w:right w:val="nil"/>
            </w:tcBorders>
            <w:shd w:val="clear" w:color="auto" w:fill="FFFFFF"/>
            <w:noWrap/>
            <w:vAlign w:val="center"/>
          </w:tcPr>
          <w:p w14:paraId="5A431BB6">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-0.011</w:t>
            </w:r>
          </w:p>
        </w:tc>
        <w:tc>
          <w:tcPr>
            <w:tcW w:w="1071" w:type="dxa"/>
            <w:tcBorders>
              <w:top w:val="nil"/>
              <w:left w:val="nil"/>
              <w:bottom w:val="single" w:color="auto" w:sz="12" w:space="0"/>
              <w:right w:val="nil"/>
            </w:tcBorders>
            <w:shd w:val="clear" w:color="auto" w:fill="FFFFFF"/>
            <w:noWrap/>
            <w:vAlign w:val="center"/>
          </w:tcPr>
          <w:p w14:paraId="28B3840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0.7825</w:t>
            </w:r>
          </w:p>
        </w:tc>
        <w:tc>
          <w:tcPr>
            <w:tcW w:w="966" w:type="dxa"/>
            <w:tcBorders>
              <w:top w:val="nil"/>
              <w:left w:val="nil"/>
              <w:bottom w:val="single" w:color="auto" w:sz="12" w:space="0"/>
              <w:right w:val="nil"/>
            </w:tcBorders>
            <w:shd w:val="clear" w:color="auto" w:fill="FFFFFF"/>
            <w:noWrap/>
            <w:vAlign w:val="center"/>
          </w:tcPr>
          <w:p w14:paraId="69403D9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0.4339</w:t>
            </w:r>
          </w:p>
        </w:tc>
        <w:tc>
          <w:tcPr>
            <w:tcW w:w="669" w:type="dxa"/>
            <w:tcBorders>
              <w:top w:val="nil"/>
              <w:left w:val="nil"/>
              <w:bottom w:val="single" w:color="auto" w:sz="12" w:space="0"/>
              <w:right w:val="nil"/>
            </w:tcBorders>
            <w:shd w:val="clear"/>
            <w:noWrap/>
            <w:vAlign w:val="center"/>
          </w:tcPr>
          <w:p w14:paraId="15DCD24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14:ligatures w14:val="none"/>
              </w:rPr>
              <w:t>24317</w:t>
            </w:r>
          </w:p>
        </w:tc>
        <w:tc>
          <w:tcPr>
            <w:tcW w:w="843" w:type="dxa"/>
            <w:tcBorders>
              <w:top w:val="nil"/>
              <w:left w:val="nil"/>
              <w:bottom w:val="single" w:color="auto" w:sz="12" w:space="0"/>
              <w:right w:val="nil"/>
            </w:tcBorders>
            <w:shd w:val="clear"/>
            <w:noWrap/>
            <w:vAlign w:val="center"/>
          </w:tcPr>
          <w:p w14:paraId="53E32D9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1"/>
                <w:szCs w:val="22"/>
                <w:u w:val="none"/>
              </w:rPr>
            </w:pPr>
            <w:r>
              <w:rPr>
                <w:rFonts w:hint="eastAsia" w:ascii="宋体" w:hAnsi="宋体" w:eastAsia="宋体" w:cs="宋体"/>
                <w:i w:val="0"/>
                <w:iCs w:val="0"/>
                <w:color w:val="000000"/>
                <w:kern w:val="0"/>
                <w:sz w:val="21"/>
                <w:szCs w:val="22"/>
                <w:u w:val="none"/>
                <w:bdr w:val="none" w:color="auto" w:sz="0" w:space="0"/>
                <w:lang w:val="en-US" w:eastAsia="zh-CN" w:bidi="ar"/>
                <w14:ligatures w14:val="none"/>
              </w:rPr>
              <w:t>0.2601</w:t>
            </w:r>
          </w:p>
        </w:tc>
      </w:tr>
    </w:tbl>
    <w:p w14:paraId="6F9CE04A">
      <w:pPr>
        <w:pStyle w:val="52"/>
        <w:numPr>
          <w:numId w:val="0"/>
        </w:numPr>
        <w:bidi w:val="0"/>
        <w:ind w:leftChars="0"/>
        <w:rPr>
          <w:rFonts w:hint="eastAsia" w:ascii="宋体" w:hAnsi="宋体" w:eastAsia="宋体" w:cs="宋体"/>
          <w:lang w:val="en-US" w:eastAsia="zh-CN"/>
        </w:rPr>
      </w:pPr>
    </w:p>
    <w:tbl>
      <w:tblPr>
        <w:tblW w:w="935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716"/>
        <w:gridCol w:w="1086"/>
        <w:gridCol w:w="1087"/>
        <w:gridCol w:w="1161"/>
        <w:gridCol w:w="1071"/>
        <w:gridCol w:w="966"/>
        <w:gridCol w:w="966"/>
        <w:gridCol w:w="968"/>
        <w:gridCol w:w="876"/>
      </w:tblGrid>
      <w:tr w14:paraId="0B513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0" w:hRule="atLeast"/>
          <w:tblHeader/>
          <w:jc w:val="center"/>
        </w:trPr>
        <w:tc>
          <w:tcPr>
            <w:tcW w:w="1716" w:type="dxa"/>
            <w:tcBorders>
              <w:top w:val="single" w:color="000000" w:themeColor="dark1" w:sz="12" w:space="0"/>
              <w:left w:val="nil"/>
              <w:bottom w:val="single" w:color="000000" w:themeColor="dark1" w:sz="6" w:space="0"/>
              <w:right w:val="nil"/>
            </w:tcBorders>
            <w:shd w:val="clear" w:color="auto" w:fill="FFFFFF"/>
            <w:noWrap/>
            <w:vAlign w:val="center"/>
          </w:tcPr>
          <w:p w14:paraId="41A842F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模型</w:t>
            </w:r>
          </w:p>
        </w:tc>
        <w:tc>
          <w:tcPr>
            <w:tcW w:w="1086" w:type="dxa"/>
            <w:tcBorders>
              <w:top w:val="single" w:color="000000" w:themeColor="dark1" w:sz="12" w:space="0"/>
              <w:left w:val="nil"/>
              <w:bottom w:val="single" w:color="000000" w:themeColor="dark1" w:sz="6" w:space="0"/>
              <w:right w:val="nil"/>
            </w:tcBorders>
            <w:shd w:val="clear" w:color="auto" w:fill="FFFFFF"/>
            <w:noWrap/>
            <w:vAlign w:val="center"/>
          </w:tcPr>
          <w:p w14:paraId="3707180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被解释变量</w:t>
            </w:r>
          </w:p>
        </w:tc>
        <w:tc>
          <w:tcPr>
            <w:tcW w:w="1087" w:type="dxa"/>
            <w:tcBorders>
              <w:top w:val="single" w:color="000000" w:themeColor="dark1" w:sz="12" w:space="0"/>
              <w:left w:val="nil"/>
              <w:bottom w:val="single" w:color="000000" w:themeColor="dark1" w:sz="6" w:space="0"/>
              <w:right w:val="nil"/>
            </w:tcBorders>
            <w:shd w:val="clear" w:color="auto" w:fill="FFFFFF"/>
            <w:noWrap/>
            <w:vAlign w:val="center"/>
          </w:tcPr>
          <w:p w14:paraId="4AE73B2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核心解释变量</w:t>
            </w:r>
          </w:p>
        </w:tc>
        <w:tc>
          <w:tcPr>
            <w:tcW w:w="1161" w:type="dxa"/>
            <w:tcBorders>
              <w:top w:val="single" w:color="000000" w:themeColor="dark1" w:sz="12" w:space="0"/>
              <w:left w:val="nil"/>
              <w:bottom w:val="single" w:color="000000" w:themeColor="dark1" w:sz="6" w:space="0"/>
              <w:right w:val="nil"/>
            </w:tcBorders>
            <w:shd w:val="clear" w:color="auto" w:fill="FFFFFF"/>
            <w:noWrap/>
            <w:vAlign w:val="center"/>
          </w:tcPr>
          <w:p w14:paraId="57DCCF0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系数</w:t>
            </w:r>
          </w:p>
        </w:tc>
        <w:tc>
          <w:tcPr>
            <w:tcW w:w="1071" w:type="dxa"/>
            <w:tcBorders>
              <w:top w:val="single" w:color="000000" w:themeColor="dark1" w:sz="12" w:space="0"/>
              <w:left w:val="nil"/>
              <w:bottom w:val="single" w:color="000000" w:themeColor="dark1" w:sz="6" w:space="0"/>
              <w:right w:val="nil"/>
            </w:tcBorders>
            <w:shd w:val="clear" w:color="auto" w:fill="FFFFFF"/>
            <w:noWrap/>
            <w:vAlign w:val="center"/>
          </w:tcPr>
          <w:p w14:paraId="217FED5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标准误</w:t>
            </w:r>
          </w:p>
        </w:tc>
        <w:tc>
          <w:tcPr>
            <w:tcW w:w="966" w:type="dxa"/>
            <w:tcBorders>
              <w:top w:val="single" w:color="000000" w:themeColor="dark1" w:sz="12" w:space="0"/>
              <w:left w:val="nil"/>
              <w:bottom w:val="single" w:color="000000" w:themeColor="dark1" w:sz="6" w:space="0"/>
              <w:right w:val="nil"/>
            </w:tcBorders>
            <w:shd w:val="clear" w:color="auto" w:fill="FFFFFF"/>
            <w:noWrap/>
            <w:vAlign w:val="center"/>
          </w:tcPr>
          <w:p w14:paraId="7D8D628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t值</w:t>
            </w:r>
          </w:p>
        </w:tc>
        <w:tc>
          <w:tcPr>
            <w:tcW w:w="966" w:type="dxa"/>
            <w:tcBorders>
              <w:top w:val="single" w:color="000000" w:themeColor="dark1" w:sz="12" w:space="0"/>
              <w:left w:val="nil"/>
              <w:bottom w:val="single" w:color="000000" w:themeColor="dark1" w:sz="6" w:space="0"/>
              <w:right w:val="nil"/>
            </w:tcBorders>
            <w:shd w:val="clear" w:color="auto" w:fill="FFFFFF"/>
            <w:noWrap/>
            <w:vAlign w:val="center"/>
          </w:tcPr>
          <w:p w14:paraId="490FB82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p值</w:t>
            </w:r>
          </w:p>
        </w:tc>
        <w:tc>
          <w:tcPr>
            <w:tcW w:w="968" w:type="dxa"/>
            <w:tcBorders>
              <w:top w:val="single" w:color="000000" w:themeColor="dark1" w:sz="12" w:space="0"/>
              <w:left w:val="nil"/>
              <w:bottom w:val="single" w:color="000000" w:themeColor="dark1" w:sz="6" w:space="0"/>
              <w:right w:val="nil"/>
            </w:tcBorders>
            <w:shd w:val="clear" w:color="auto" w:fill="FFFFFF"/>
            <w:noWrap/>
            <w:vAlign w:val="center"/>
          </w:tcPr>
          <w:p w14:paraId="599654B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样本量</w:t>
            </w:r>
          </w:p>
        </w:tc>
        <w:tc>
          <w:tcPr>
            <w:tcW w:w="876" w:type="dxa"/>
            <w:tcBorders>
              <w:top w:val="single" w:color="000000" w:themeColor="dark1" w:sz="12" w:space="0"/>
              <w:left w:val="nil"/>
              <w:bottom w:val="single" w:color="000000" w:themeColor="dark1" w:sz="6" w:space="0"/>
              <w:right w:val="nil"/>
            </w:tcBorders>
            <w:shd w:val="clear" w:color="auto" w:fill="FFFFFF"/>
            <w:noWrap/>
            <w:vAlign w:val="center"/>
          </w:tcPr>
          <w:p w14:paraId="3FE2FFD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拟合指标</w:t>
            </w:r>
          </w:p>
        </w:tc>
      </w:tr>
      <w:tr w14:paraId="74B30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716" w:type="dxa"/>
            <w:tcBorders>
              <w:top w:val="single" w:color="000000" w:themeColor="dark1" w:sz="6" w:space="0"/>
              <w:left w:val="nil"/>
              <w:bottom w:val="nil"/>
              <w:right w:val="nil"/>
            </w:tcBorders>
            <w:shd w:val="clear" w:color="auto" w:fill="FFFFFF"/>
            <w:noWrap/>
            <w:vAlign w:val="center"/>
          </w:tcPr>
          <w:p w14:paraId="2321BE5D">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国企</w:t>
            </w:r>
          </w:p>
        </w:tc>
        <w:tc>
          <w:tcPr>
            <w:tcW w:w="1086" w:type="dxa"/>
            <w:tcBorders>
              <w:top w:val="single" w:color="000000" w:themeColor="dark1" w:sz="6" w:space="0"/>
              <w:left w:val="nil"/>
              <w:bottom w:val="nil"/>
              <w:right w:val="nil"/>
            </w:tcBorders>
            <w:shd w:val="clear" w:color="auto" w:fill="FFFFFF"/>
            <w:noWrap/>
            <w:vAlign w:val="center"/>
          </w:tcPr>
          <w:p w14:paraId="7DE39A6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提质增效指数</w:t>
            </w:r>
          </w:p>
        </w:tc>
        <w:tc>
          <w:tcPr>
            <w:tcW w:w="1087" w:type="dxa"/>
            <w:tcBorders>
              <w:top w:val="single" w:color="000000" w:themeColor="dark1" w:sz="6" w:space="0"/>
              <w:left w:val="nil"/>
              <w:bottom w:val="nil"/>
              <w:right w:val="nil"/>
            </w:tcBorders>
            <w:shd w:val="clear" w:color="auto" w:fill="FFFFFF"/>
            <w:noWrap/>
            <w:vAlign w:val="center"/>
          </w:tcPr>
          <w:p w14:paraId="304E680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年报AI词频</w:t>
            </w:r>
          </w:p>
        </w:tc>
        <w:tc>
          <w:tcPr>
            <w:tcW w:w="1161" w:type="dxa"/>
            <w:tcBorders>
              <w:top w:val="single" w:color="000000" w:themeColor="dark1" w:sz="6" w:space="0"/>
              <w:left w:val="nil"/>
              <w:bottom w:val="nil"/>
              <w:right w:val="nil"/>
            </w:tcBorders>
            <w:shd w:val="clear" w:color="auto" w:fill="FFFFFF"/>
            <w:noWrap/>
            <w:vAlign w:val="center"/>
          </w:tcPr>
          <w:p w14:paraId="53C903D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0.0630***</w:t>
            </w:r>
          </w:p>
        </w:tc>
        <w:tc>
          <w:tcPr>
            <w:tcW w:w="1071" w:type="dxa"/>
            <w:tcBorders>
              <w:top w:val="single" w:color="000000" w:themeColor="dark1" w:sz="6" w:space="0"/>
              <w:left w:val="nil"/>
              <w:bottom w:val="nil"/>
              <w:right w:val="nil"/>
            </w:tcBorders>
            <w:shd w:val="clear" w:color="auto" w:fill="FFFFFF"/>
            <w:noWrap/>
            <w:vAlign w:val="center"/>
          </w:tcPr>
          <w:p w14:paraId="1E227D7D">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-0.0213</w:t>
            </w:r>
          </w:p>
        </w:tc>
        <w:tc>
          <w:tcPr>
            <w:tcW w:w="966" w:type="dxa"/>
            <w:tcBorders>
              <w:top w:val="single" w:color="000000" w:themeColor="dark1" w:sz="6" w:space="0"/>
              <w:left w:val="nil"/>
              <w:bottom w:val="nil"/>
              <w:right w:val="nil"/>
            </w:tcBorders>
            <w:shd w:val="clear" w:color="auto" w:fill="FFFFFF"/>
            <w:noWrap/>
            <w:vAlign w:val="center"/>
          </w:tcPr>
          <w:p w14:paraId="00023EB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2.9526</w:t>
            </w:r>
          </w:p>
        </w:tc>
        <w:tc>
          <w:tcPr>
            <w:tcW w:w="966" w:type="dxa"/>
            <w:tcBorders>
              <w:top w:val="single" w:color="000000" w:themeColor="dark1" w:sz="6" w:space="0"/>
              <w:left w:val="nil"/>
              <w:bottom w:val="nil"/>
              <w:right w:val="nil"/>
            </w:tcBorders>
            <w:shd w:val="clear" w:color="auto" w:fill="FFFFFF"/>
            <w:noWrap/>
            <w:vAlign w:val="center"/>
          </w:tcPr>
          <w:p w14:paraId="150A269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0.0032</w:t>
            </w:r>
          </w:p>
        </w:tc>
        <w:tc>
          <w:tcPr>
            <w:tcW w:w="968" w:type="dxa"/>
            <w:tcBorders>
              <w:top w:val="single" w:color="000000" w:themeColor="dark1" w:sz="6" w:space="0"/>
              <w:left w:val="nil"/>
              <w:bottom w:val="nil"/>
              <w:right w:val="nil"/>
            </w:tcBorders>
            <w:shd w:val="clear" w:color="auto" w:fill="FFFFFF"/>
            <w:noWrap/>
            <w:vAlign w:val="center"/>
          </w:tcPr>
          <w:p w14:paraId="2AB4C13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6352</w:t>
            </w:r>
          </w:p>
        </w:tc>
        <w:tc>
          <w:tcPr>
            <w:tcW w:w="876" w:type="dxa"/>
            <w:tcBorders>
              <w:top w:val="single" w:color="000000" w:themeColor="dark1" w:sz="6" w:space="0"/>
              <w:left w:val="nil"/>
              <w:bottom w:val="nil"/>
              <w:right w:val="nil"/>
            </w:tcBorders>
            <w:shd w:val="clear" w:color="auto" w:fill="FFFFFF"/>
            <w:noWrap/>
            <w:vAlign w:val="center"/>
          </w:tcPr>
          <w:p w14:paraId="39F90E1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0.3269</w:t>
            </w:r>
          </w:p>
        </w:tc>
      </w:tr>
      <w:tr w14:paraId="49584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716" w:type="dxa"/>
            <w:tcBorders>
              <w:top w:val="nil"/>
              <w:left w:val="nil"/>
              <w:bottom w:val="nil"/>
              <w:right w:val="nil"/>
            </w:tcBorders>
            <w:shd w:val="clear" w:color="auto" w:fill="FFFFFF"/>
            <w:noWrap/>
            <w:vAlign w:val="center"/>
          </w:tcPr>
          <w:p w14:paraId="28494A54">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非国企</w:t>
            </w:r>
          </w:p>
        </w:tc>
        <w:tc>
          <w:tcPr>
            <w:tcW w:w="1086" w:type="dxa"/>
            <w:tcBorders>
              <w:top w:val="nil"/>
              <w:left w:val="nil"/>
              <w:bottom w:val="nil"/>
              <w:right w:val="nil"/>
            </w:tcBorders>
            <w:shd w:val="clear" w:color="auto" w:fill="FFFFFF"/>
            <w:noWrap/>
            <w:vAlign w:val="center"/>
          </w:tcPr>
          <w:p w14:paraId="72B9513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提质增效指数</w:t>
            </w:r>
          </w:p>
        </w:tc>
        <w:tc>
          <w:tcPr>
            <w:tcW w:w="1087" w:type="dxa"/>
            <w:tcBorders>
              <w:top w:val="nil"/>
              <w:left w:val="nil"/>
              <w:bottom w:val="nil"/>
              <w:right w:val="nil"/>
            </w:tcBorders>
            <w:shd w:val="clear" w:color="auto" w:fill="FFFFFF"/>
            <w:noWrap/>
            <w:vAlign w:val="center"/>
          </w:tcPr>
          <w:p w14:paraId="6C3F2B7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年报AI词频</w:t>
            </w:r>
          </w:p>
        </w:tc>
        <w:tc>
          <w:tcPr>
            <w:tcW w:w="1161" w:type="dxa"/>
            <w:tcBorders>
              <w:top w:val="nil"/>
              <w:left w:val="nil"/>
              <w:bottom w:val="nil"/>
              <w:right w:val="nil"/>
            </w:tcBorders>
            <w:shd w:val="clear" w:color="auto" w:fill="FFFFFF"/>
            <w:noWrap/>
            <w:vAlign w:val="center"/>
          </w:tcPr>
          <w:p w14:paraId="4DF88D3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0.0429***</w:t>
            </w:r>
          </w:p>
        </w:tc>
        <w:tc>
          <w:tcPr>
            <w:tcW w:w="1071" w:type="dxa"/>
            <w:tcBorders>
              <w:top w:val="nil"/>
              <w:left w:val="nil"/>
              <w:bottom w:val="nil"/>
              <w:right w:val="nil"/>
            </w:tcBorders>
            <w:shd w:val="clear" w:color="auto" w:fill="FFFFFF"/>
            <w:noWrap/>
            <w:vAlign w:val="center"/>
          </w:tcPr>
          <w:p w14:paraId="21F60AD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-0.0083</w:t>
            </w:r>
          </w:p>
        </w:tc>
        <w:tc>
          <w:tcPr>
            <w:tcW w:w="966" w:type="dxa"/>
            <w:tcBorders>
              <w:top w:val="nil"/>
              <w:left w:val="nil"/>
              <w:bottom w:val="nil"/>
              <w:right w:val="nil"/>
            </w:tcBorders>
            <w:shd w:val="clear" w:color="auto" w:fill="FFFFFF"/>
            <w:noWrap/>
            <w:vAlign w:val="center"/>
          </w:tcPr>
          <w:p w14:paraId="7C832A5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5.1754</w:t>
            </w:r>
          </w:p>
        </w:tc>
        <w:tc>
          <w:tcPr>
            <w:tcW w:w="966" w:type="dxa"/>
            <w:tcBorders>
              <w:top w:val="nil"/>
              <w:left w:val="nil"/>
              <w:bottom w:val="nil"/>
              <w:right w:val="nil"/>
            </w:tcBorders>
            <w:shd w:val="clear" w:color="auto" w:fill="FFFFFF"/>
            <w:noWrap/>
            <w:vAlign w:val="center"/>
          </w:tcPr>
          <w:p w14:paraId="54B67AD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w:t>
            </w:r>
          </w:p>
        </w:tc>
        <w:tc>
          <w:tcPr>
            <w:tcW w:w="968" w:type="dxa"/>
            <w:tcBorders>
              <w:top w:val="nil"/>
              <w:left w:val="nil"/>
              <w:bottom w:val="nil"/>
              <w:right w:val="nil"/>
            </w:tcBorders>
            <w:shd w:val="clear" w:color="auto" w:fill="FFFFFF"/>
            <w:noWrap/>
            <w:vAlign w:val="center"/>
          </w:tcPr>
          <w:p w14:paraId="50A3B50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20517</w:t>
            </w:r>
          </w:p>
        </w:tc>
        <w:tc>
          <w:tcPr>
            <w:tcW w:w="876" w:type="dxa"/>
            <w:tcBorders>
              <w:top w:val="nil"/>
              <w:left w:val="nil"/>
              <w:bottom w:val="nil"/>
              <w:right w:val="nil"/>
            </w:tcBorders>
            <w:shd w:val="clear" w:color="auto" w:fill="FFFFFF"/>
            <w:noWrap/>
            <w:vAlign w:val="center"/>
          </w:tcPr>
          <w:p w14:paraId="210F1F3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0.2642</w:t>
            </w:r>
          </w:p>
        </w:tc>
      </w:tr>
      <w:tr w14:paraId="58F7A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716" w:type="dxa"/>
            <w:tcBorders>
              <w:top w:val="nil"/>
              <w:left w:val="nil"/>
              <w:bottom w:val="nil"/>
              <w:right w:val="nil"/>
            </w:tcBorders>
            <w:shd w:val="clear" w:color="auto" w:fill="FFFFFF"/>
            <w:noWrap/>
            <w:vAlign w:val="center"/>
          </w:tcPr>
          <w:p w14:paraId="5190975F">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东部地区</w:t>
            </w:r>
          </w:p>
        </w:tc>
        <w:tc>
          <w:tcPr>
            <w:tcW w:w="1086" w:type="dxa"/>
            <w:tcBorders>
              <w:top w:val="nil"/>
              <w:left w:val="nil"/>
              <w:bottom w:val="nil"/>
              <w:right w:val="nil"/>
            </w:tcBorders>
            <w:shd w:val="clear" w:color="auto" w:fill="FFFFFF"/>
            <w:noWrap/>
            <w:vAlign w:val="center"/>
          </w:tcPr>
          <w:p w14:paraId="7DD80FC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提质增效指数</w:t>
            </w:r>
          </w:p>
        </w:tc>
        <w:tc>
          <w:tcPr>
            <w:tcW w:w="1087" w:type="dxa"/>
            <w:tcBorders>
              <w:top w:val="nil"/>
              <w:left w:val="nil"/>
              <w:bottom w:val="nil"/>
              <w:right w:val="nil"/>
            </w:tcBorders>
            <w:shd w:val="clear" w:color="auto" w:fill="FFFFFF"/>
            <w:noWrap/>
            <w:vAlign w:val="center"/>
          </w:tcPr>
          <w:p w14:paraId="4BA86E0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年报AI词频</w:t>
            </w:r>
          </w:p>
        </w:tc>
        <w:tc>
          <w:tcPr>
            <w:tcW w:w="1161" w:type="dxa"/>
            <w:tcBorders>
              <w:top w:val="nil"/>
              <w:left w:val="nil"/>
              <w:bottom w:val="nil"/>
              <w:right w:val="nil"/>
            </w:tcBorders>
            <w:shd w:val="clear" w:color="auto" w:fill="FFFFFF"/>
            <w:noWrap/>
            <w:vAlign w:val="center"/>
          </w:tcPr>
          <w:p w14:paraId="3532A0BD">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0.0473***</w:t>
            </w:r>
          </w:p>
        </w:tc>
        <w:tc>
          <w:tcPr>
            <w:tcW w:w="1071" w:type="dxa"/>
            <w:tcBorders>
              <w:top w:val="nil"/>
              <w:left w:val="nil"/>
              <w:bottom w:val="nil"/>
              <w:right w:val="nil"/>
            </w:tcBorders>
            <w:shd w:val="clear" w:color="auto" w:fill="FFFFFF"/>
            <w:noWrap/>
            <w:vAlign w:val="center"/>
          </w:tcPr>
          <w:p w14:paraId="4CC623CD">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-0.0091</w:t>
            </w:r>
          </w:p>
        </w:tc>
        <w:tc>
          <w:tcPr>
            <w:tcW w:w="966" w:type="dxa"/>
            <w:tcBorders>
              <w:top w:val="nil"/>
              <w:left w:val="nil"/>
              <w:bottom w:val="nil"/>
              <w:right w:val="nil"/>
            </w:tcBorders>
            <w:shd w:val="clear" w:color="auto" w:fill="FFFFFF"/>
            <w:noWrap/>
            <w:vAlign w:val="center"/>
          </w:tcPr>
          <w:p w14:paraId="7B26576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5.2119</w:t>
            </w:r>
          </w:p>
        </w:tc>
        <w:tc>
          <w:tcPr>
            <w:tcW w:w="966" w:type="dxa"/>
            <w:tcBorders>
              <w:top w:val="nil"/>
              <w:left w:val="nil"/>
              <w:bottom w:val="nil"/>
              <w:right w:val="nil"/>
            </w:tcBorders>
            <w:shd w:val="clear" w:color="auto" w:fill="FFFFFF"/>
            <w:noWrap/>
            <w:vAlign w:val="center"/>
          </w:tcPr>
          <w:p w14:paraId="7D1709A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w:t>
            </w:r>
          </w:p>
        </w:tc>
        <w:tc>
          <w:tcPr>
            <w:tcW w:w="968" w:type="dxa"/>
            <w:tcBorders>
              <w:top w:val="nil"/>
              <w:left w:val="nil"/>
              <w:bottom w:val="nil"/>
              <w:right w:val="nil"/>
            </w:tcBorders>
            <w:shd w:val="clear" w:color="auto" w:fill="FFFFFF"/>
            <w:noWrap/>
            <w:vAlign w:val="center"/>
          </w:tcPr>
          <w:p w14:paraId="410D087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18994</w:t>
            </w:r>
          </w:p>
        </w:tc>
        <w:tc>
          <w:tcPr>
            <w:tcW w:w="876" w:type="dxa"/>
            <w:tcBorders>
              <w:top w:val="nil"/>
              <w:left w:val="nil"/>
              <w:bottom w:val="nil"/>
              <w:right w:val="nil"/>
            </w:tcBorders>
            <w:shd w:val="clear" w:color="auto" w:fill="FFFFFF"/>
            <w:noWrap/>
            <w:vAlign w:val="center"/>
          </w:tcPr>
          <w:p w14:paraId="60FE62E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0.2662</w:t>
            </w:r>
          </w:p>
        </w:tc>
      </w:tr>
      <w:tr w14:paraId="73120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16" w:type="dxa"/>
            <w:tcBorders>
              <w:top w:val="nil"/>
              <w:left w:val="nil"/>
              <w:bottom w:val="nil"/>
              <w:right w:val="nil"/>
            </w:tcBorders>
            <w:shd w:val="clear" w:color="auto" w:fill="FFFFFF"/>
            <w:noWrap/>
            <w:vAlign w:val="center"/>
          </w:tcPr>
          <w:p w14:paraId="48CFBD82">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非东部地区</w:t>
            </w:r>
          </w:p>
        </w:tc>
        <w:tc>
          <w:tcPr>
            <w:tcW w:w="1086" w:type="dxa"/>
            <w:tcBorders>
              <w:top w:val="nil"/>
              <w:left w:val="nil"/>
              <w:bottom w:val="nil"/>
              <w:right w:val="nil"/>
            </w:tcBorders>
            <w:shd w:val="clear" w:color="auto" w:fill="FFFFFF"/>
            <w:noWrap/>
            <w:vAlign w:val="center"/>
          </w:tcPr>
          <w:p w14:paraId="2480E8C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提质增效指数</w:t>
            </w:r>
          </w:p>
        </w:tc>
        <w:tc>
          <w:tcPr>
            <w:tcW w:w="1087" w:type="dxa"/>
            <w:tcBorders>
              <w:top w:val="nil"/>
              <w:left w:val="nil"/>
              <w:bottom w:val="nil"/>
              <w:right w:val="nil"/>
            </w:tcBorders>
            <w:shd w:val="clear" w:color="auto" w:fill="FFFFFF"/>
            <w:noWrap/>
            <w:vAlign w:val="center"/>
          </w:tcPr>
          <w:p w14:paraId="12FFCED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年报AI词频</w:t>
            </w:r>
          </w:p>
        </w:tc>
        <w:tc>
          <w:tcPr>
            <w:tcW w:w="1161" w:type="dxa"/>
            <w:tcBorders>
              <w:top w:val="nil"/>
              <w:left w:val="nil"/>
              <w:bottom w:val="nil"/>
              <w:right w:val="nil"/>
            </w:tcBorders>
            <w:shd w:val="clear" w:color="auto" w:fill="FFFFFF"/>
            <w:noWrap/>
            <w:vAlign w:val="center"/>
          </w:tcPr>
          <w:p w14:paraId="2098365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0.0342**</w:t>
            </w:r>
          </w:p>
        </w:tc>
        <w:tc>
          <w:tcPr>
            <w:tcW w:w="1071" w:type="dxa"/>
            <w:tcBorders>
              <w:top w:val="nil"/>
              <w:left w:val="nil"/>
              <w:bottom w:val="nil"/>
              <w:right w:val="nil"/>
            </w:tcBorders>
            <w:shd w:val="clear" w:color="auto" w:fill="FFFFFF"/>
            <w:noWrap/>
            <w:vAlign w:val="center"/>
          </w:tcPr>
          <w:p w14:paraId="0CB1F1B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-0.0155</w:t>
            </w:r>
          </w:p>
        </w:tc>
        <w:tc>
          <w:tcPr>
            <w:tcW w:w="966" w:type="dxa"/>
            <w:tcBorders>
              <w:top w:val="nil"/>
              <w:left w:val="nil"/>
              <w:bottom w:val="nil"/>
              <w:right w:val="nil"/>
            </w:tcBorders>
            <w:shd w:val="clear" w:color="auto" w:fill="FFFFFF"/>
            <w:noWrap/>
            <w:vAlign w:val="center"/>
          </w:tcPr>
          <w:p w14:paraId="0910E32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2.2051</w:t>
            </w:r>
          </w:p>
        </w:tc>
        <w:tc>
          <w:tcPr>
            <w:tcW w:w="966" w:type="dxa"/>
            <w:tcBorders>
              <w:top w:val="nil"/>
              <w:left w:val="nil"/>
              <w:bottom w:val="nil"/>
              <w:right w:val="nil"/>
            </w:tcBorders>
            <w:shd w:val="clear" w:color="auto" w:fill="FFFFFF"/>
            <w:noWrap/>
            <w:vAlign w:val="center"/>
          </w:tcPr>
          <w:p w14:paraId="385E520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0.0274</w:t>
            </w:r>
          </w:p>
        </w:tc>
        <w:tc>
          <w:tcPr>
            <w:tcW w:w="968" w:type="dxa"/>
            <w:tcBorders>
              <w:top w:val="nil"/>
              <w:left w:val="nil"/>
              <w:bottom w:val="nil"/>
              <w:right w:val="nil"/>
            </w:tcBorders>
            <w:shd w:val="clear" w:color="auto" w:fill="FFFFFF"/>
            <w:noWrap/>
            <w:vAlign w:val="center"/>
          </w:tcPr>
          <w:p w14:paraId="21671C2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7875</w:t>
            </w:r>
          </w:p>
        </w:tc>
        <w:tc>
          <w:tcPr>
            <w:tcW w:w="876" w:type="dxa"/>
            <w:tcBorders>
              <w:top w:val="nil"/>
              <w:left w:val="nil"/>
              <w:bottom w:val="nil"/>
              <w:right w:val="nil"/>
            </w:tcBorders>
            <w:shd w:val="clear" w:color="auto" w:fill="FFFFFF"/>
            <w:noWrap/>
            <w:vAlign w:val="center"/>
          </w:tcPr>
          <w:p w14:paraId="127904A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0.3103</w:t>
            </w:r>
          </w:p>
        </w:tc>
      </w:tr>
      <w:tr w14:paraId="15795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716" w:type="dxa"/>
            <w:tcBorders>
              <w:top w:val="nil"/>
              <w:left w:val="nil"/>
              <w:bottom w:val="nil"/>
              <w:right w:val="nil"/>
            </w:tcBorders>
            <w:shd w:val="clear" w:color="auto" w:fill="FFFFFF"/>
            <w:noWrap/>
            <w:vAlign w:val="center"/>
          </w:tcPr>
          <w:p w14:paraId="0C658EF5">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高技术制造业</w:t>
            </w:r>
          </w:p>
        </w:tc>
        <w:tc>
          <w:tcPr>
            <w:tcW w:w="1086" w:type="dxa"/>
            <w:tcBorders>
              <w:top w:val="nil"/>
              <w:left w:val="nil"/>
              <w:bottom w:val="nil"/>
              <w:right w:val="nil"/>
            </w:tcBorders>
            <w:shd w:val="clear" w:color="auto" w:fill="FFFFFF"/>
            <w:noWrap/>
            <w:vAlign w:val="center"/>
          </w:tcPr>
          <w:p w14:paraId="7C95524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提质增效指数</w:t>
            </w:r>
          </w:p>
        </w:tc>
        <w:tc>
          <w:tcPr>
            <w:tcW w:w="1087" w:type="dxa"/>
            <w:tcBorders>
              <w:top w:val="nil"/>
              <w:left w:val="nil"/>
              <w:bottom w:val="nil"/>
              <w:right w:val="nil"/>
            </w:tcBorders>
            <w:shd w:val="clear" w:color="auto" w:fill="FFFFFF"/>
            <w:noWrap/>
            <w:vAlign w:val="center"/>
          </w:tcPr>
          <w:p w14:paraId="3241C9D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年报AI词频</w:t>
            </w:r>
          </w:p>
        </w:tc>
        <w:tc>
          <w:tcPr>
            <w:tcW w:w="1161" w:type="dxa"/>
            <w:tcBorders>
              <w:top w:val="nil"/>
              <w:left w:val="nil"/>
              <w:bottom w:val="nil"/>
              <w:right w:val="nil"/>
            </w:tcBorders>
            <w:shd w:val="clear" w:color="auto" w:fill="FFFFFF"/>
            <w:noWrap/>
            <w:vAlign w:val="center"/>
          </w:tcPr>
          <w:p w14:paraId="6AF1F21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0.0754***</w:t>
            </w:r>
          </w:p>
        </w:tc>
        <w:tc>
          <w:tcPr>
            <w:tcW w:w="1071" w:type="dxa"/>
            <w:tcBorders>
              <w:top w:val="nil"/>
              <w:left w:val="nil"/>
              <w:bottom w:val="nil"/>
              <w:right w:val="nil"/>
            </w:tcBorders>
            <w:shd w:val="clear" w:color="auto" w:fill="FFFFFF"/>
            <w:noWrap/>
            <w:vAlign w:val="center"/>
          </w:tcPr>
          <w:p w14:paraId="5949015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-0.011</w:t>
            </w:r>
          </w:p>
        </w:tc>
        <w:tc>
          <w:tcPr>
            <w:tcW w:w="966" w:type="dxa"/>
            <w:tcBorders>
              <w:top w:val="nil"/>
              <w:left w:val="nil"/>
              <w:bottom w:val="nil"/>
              <w:right w:val="nil"/>
            </w:tcBorders>
            <w:shd w:val="clear" w:color="auto" w:fill="FFFFFF"/>
            <w:noWrap/>
            <w:vAlign w:val="center"/>
          </w:tcPr>
          <w:p w14:paraId="65D7F2E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6.8512</w:t>
            </w:r>
          </w:p>
        </w:tc>
        <w:tc>
          <w:tcPr>
            <w:tcW w:w="966" w:type="dxa"/>
            <w:tcBorders>
              <w:top w:val="nil"/>
              <w:left w:val="nil"/>
              <w:bottom w:val="nil"/>
              <w:right w:val="nil"/>
            </w:tcBorders>
            <w:shd w:val="clear" w:color="auto" w:fill="FFFFFF"/>
            <w:noWrap/>
            <w:vAlign w:val="center"/>
          </w:tcPr>
          <w:p w14:paraId="0EEB03C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w:t>
            </w:r>
          </w:p>
        </w:tc>
        <w:tc>
          <w:tcPr>
            <w:tcW w:w="968" w:type="dxa"/>
            <w:tcBorders>
              <w:top w:val="nil"/>
              <w:left w:val="nil"/>
              <w:bottom w:val="nil"/>
              <w:right w:val="nil"/>
            </w:tcBorders>
            <w:shd w:val="clear" w:color="auto" w:fill="FFFFFF"/>
            <w:noWrap/>
            <w:vAlign w:val="center"/>
          </w:tcPr>
          <w:p w14:paraId="3219D7A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13469</w:t>
            </w:r>
          </w:p>
        </w:tc>
        <w:tc>
          <w:tcPr>
            <w:tcW w:w="876" w:type="dxa"/>
            <w:tcBorders>
              <w:top w:val="nil"/>
              <w:left w:val="nil"/>
              <w:bottom w:val="nil"/>
              <w:right w:val="nil"/>
            </w:tcBorders>
            <w:shd w:val="clear" w:color="auto" w:fill="FFFFFF"/>
            <w:noWrap/>
            <w:vAlign w:val="center"/>
          </w:tcPr>
          <w:p w14:paraId="4D180DC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0.2501</w:t>
            </w:r>
          </w:p>
        </w:tc>
      </w:tr>
      <w:tr w14:paraId="7AE6A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16" w:type="dxa"/>
            <w:tcBorders>
              <w:top w:val="nil"/>
              <w:left w:val="nil"/>
              <w:bottom w:val="nil"/>
              <w:right w:val="nil"/>
            </w:tcBorders>
            <w:shd w:val="clear" w:color="auto" w:fill="FFFFFF"/>
            <w:noWrap/>
            <w:vAlign w:val="center"/>
          </w:tcPr>
          <w:p w14:paraId="6297EEAA">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非高技术制造业</w:t>
            </w:r>
          </w:p>
        </w:tc>
        <w:tc>
          <w:tcPr>
            <w:tcW w:w="1086" w:type="dxa"/>
            <w:tcBorders>
              <w:top w:val="nil"/>
              <w:left w:val="nil"/>
              <w:bottom w:val="nil"/>
              <w:right w:val="nil"/>
            </w:tcBorders>
            <w:shd w:val="clear" w:color="auto" w:fill="FFFFFF"/>
            <w:noWrap/>
            <w:vAlign w:val="center"/>
          </w:tcPr>
          <w:p w14:paraId="0B996234">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提质增效指数</w:t>
            </w:r>
          </w:p>
        </w:tc>
        <w:tc>
          <w:tcPr>
            <w:tcW w:w="1087" w:type="dxa"/>
            <w:tcBorders>
              <w:top w:val="nil"/>
              <w:left w:val="nil"/>
              <w:bottom w:val="nil"/>
              <w:right w:val="nil"/>
            </w:tcBorders>
            <w:shd w:val="clear" w:color="auto" w:fill="FFFFFF"/>
            <w:noWrap/>
            <w:vAlign w:val="center"/>
          </w:tcPr>
          <w:p w14:paraId="0DCA847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年报AI词频</w:t>
            </w:r>
          </w:p>
        </w:tc>
        <w:tc>
          <w:tcPr>
            <w:tcW w:w="1161" w:type="dxa"/>
            <w:tcBorders>
              <w:top w:val="nil"/>
              <w:left w:val="nil"/>
              <w:bottom w:val="nil"/>
              <w:right w:val="nil"/>
            </w:tcBorders>
            <w:shd w:val="clear" w:color="auto" w:fill="FFFFFF"/>
            <w:noWrap/>
            <w:vAlign w:val="center"/>
          </w:tcPr>
          <w:p w14:paraId="3F5922F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0.0167</w:t>
            </w:r>
          </w:p>
        </w:tc>
        <w:tc>
          <w:tcPr>
            <w:tcW w:w="1071" w:type="dxa"/>
            <w:tcBorders>
              <w:top w:val="nil"/>
              <w:left w:val="nil"/>
              <w:bottom w:val="nil"/>
              <w:right w:val="nil"/>
            </w:tcBorders>
            <w:shd w:val="clear" w:color="auto" w:fill="FFFFFF"/>
            <w:noWrap/>
            <w:vAlign w:val="center"/>
          </w:tcPr>
          <w:p w14:paraId="37F19B5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-0.0107</w:t>
            </w:r>
          </w:p>
        </w:tc>
        <w:tc>
          <w:tcPr>
            <w:tcW w:w="966" w:type="dxa"/>
            <w:tcBorders>
              <w:top w:val="nil"/>
              <w:left w:val="nil"/>
              <w:bottom w:val="nil"/>
              <w:right w:val="nil"/>
            </w:tcBorders>
            <w:shd w:val="clear" w:color="auto" w:fill="FFFFFF"/>
            <w:noWrap/>
            <w:vAlign w:val="center"/>
          </w:tcPr>
          <w:p w14:paraId="1C00F51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1.5594</w:t>
            </w:r>
          </w:p>
        </w:tc>
        <w:tc>
          <w:tcPr>
            <w:tcW w:w="966" w:type="dxa"/>
            <w:tcBorders>
              <w:top w:val="nil"/>
              <w:left w:val="nil"/>
              <w:bottom w:val="nil"/>
              <w:right w:val="nil"/>
            </w:tcBorders>
            <w:shd w:val="clear" w:color="auto" w:fill="FFFFFF"/>
            <w:noWrap/>
            <w:vAlign w:val="center"/>
          </w:tcPr>
          <w:p w14:paraId="4D494324">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0.1189</w:t>
            </w:r>
          </w:p>
        </w:tc>
        <w:tc>
          <w:tcPr>
            <w:tcW w:w="968" w:type="dxa"/>
            <w:tcBorders>
              <w:top w:val="nil"/>
              <w:left w:val="nil"/>
              <w:bottom w:val="nil"/>
              <w:right w:val="nil"/>
            </w:tcBorders>
            <w:shd w:val="clear" w:color="auto" w:fill="FFFFFF"/>
            <w:noWrap/>
            <w:vAlign w:val="center"/>
          </w:tcPr>
          <w:p w14:paraId="3A31F43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13400</w:t>
            </w:r>
          </w:p>
        </w:tc>
        <w:tc>
          <w:tcPr>
            <w:tcW w:w="876" w:type="dxa"/>
            <w:tcBorders>
              <w:top w:val="nil"/>
              <w:left w:val="nil"/>
              <w:bottom w:val="nil"/>
              <w:right w:val="nil"/>
            </w:tcBorders>
            <w:shd w:val="clear" w:color="auto" w:fill="FFFFFF"/>
            <w:noWrap/>
            <w:vAlign w:val="center"/>
          </w:tcPr>
          <w:p w14:paraId="76CB3D7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0.312</w:t>
            </w:r>
          </w:p>
        </w:tc>
      </w:tr>
      <w:tr w14:paraId="4B13F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716" w:type="dxa"/>
            <w:tcBorders>
              <w:top w:val="nil"/>
              <w:left w:val="nil"/>
              <w:bottom w:val="nil"/>
              <w:right w:val="nil"/>
            </w:tcBorders>
            <w:shd w:val="clear" w:color="auto" w:fill="FFFFFF"/>
            <w:noWrap/>
            <w:vAlign w:val="center"/>
          </w:tcPr>
          <w:p w14:paraId="010CE709">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高转化效率</w:t>
            </w:r>
          </w:p>
        </w:tc>
        <w:tc>
          <w:tcPr>
            <w:tcW w:w="1086" w:type="dxa"/>
            <w:tcBorders>
              <w:top w:val="nil"/>
              <w:left w:val="nil"/>
              <w:bottom w:val="nil"/>
              <w:right w:val="nil"/>
            </w:tcBorders>
            <w:shd w:val="clear" w:color="auto" w:fill="FFFFFF"/>
            <w:noWrap/>
            <w:vAlign w:val="center"/>
          </w:tcPr>
          <w:p w14:paraId="1FF0E28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提质增效指数</w:t>
            </w:r>
          </w:p>
        </w:tc>
        <w:tc>
          <w:tcPr>
            <w:tcW w:w="1087" w:type="dxa"/>
            <w:tcBorders>
              <w:top w:val="nil"/>
              <w:left w:val="nil"/>
              <w:bottom w:val="nil"/>
              <w:right w:val="nil"/>
            </w:tcBorders>
            <w:shd w:val="clear" w:color="auto" w:fill="FFFFFF"/>
            <w:noWrap/>
            <w:vAlign w:val="center"/>
          </w:tcPr>
          <w:p w14:paraId="6CB61E4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年报AI词频</w:t>
            </w:r>
          </w:p>
        </w:tc>
        <w:tc>
          <w:tcPr>
            <w:tcW w:w="1161" w:type="dxa"/>
            <w:tcBorders>
              <w:top w:val="nil"/>
              <w:left w:val="nil"/>
              <w:bottom w:val="nil"/>
              <w:right w:val="nil"/>
            </w:tcBorders>
            <w:shd w:val="clear" w:color="auto" w:fill="FFFFFF"/>
            <w:noWrap/>
            <w:vAlign w:val="center"/>
          </w:tcPr>
          <w:p w14:paraId="435B462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0.0488***</w:t>
            </w:r>
          </w:p>
        </w:tc>
        <w:tc>
          <w:tcPr>
            <w:tcW w:w="1071" w:type="dxa"/>
            <w:tcBorders>
              <w:top w:val="nil"/>
              <w:left w:val="nil"/>
              <w:bottom w:val="nil"/>
              <w:right w:val="nil"/>
            </w:tcBorders>
            <w:shd w:val="clear" w:color="auto" w:fill="FFFFFF"/>
            <w:noWrap/>
            <w:vAlign w:val="center"/>
          </w:tcPr>
          <w:p w14:paraId="5E399E1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-0.0112</w:t>
            </w:r>
          </w:p>
        </w:tc>
        <w:tc>
          <w:tcPr>
            <w:tcW w:w="966" w:type="dxa"/>
            <w:tcBorders>
              <w:top w:val="nil"/>
              <w:left w:val="nil"/>
              <w:bottom w:val="nil"/>
              <w:right w:val="nil"/>
            </w:tcBorders>
            <w:shd w:val="clear" w:color="auto" w:fill="FFFFFF"/>
            <w:noWrap/>
            <w:vAlign w:val="center"/>
          </w:tcPr>
          <w:p w14:paraId="00A9126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4.359</w:t>
            </w:r>
          </w:p>
        </w:tc>
        <w:tc>
          <w:tcPr>
            <w:tcW w:w="966" w:type="dxa"/>
            <w:tcBorders>
              <w:top w:val="nil"/>
              <w:left w:val="nil"/>
              <w:bottom w:val="nil"/>
              <w:right w:val="nil"/>
            </w:tcBorders>
            <w:shd w:val="clear" w:color="auto" w:fill="FFFFFF"/>
            <w:noWrap/>
            <w:vAlign w:val="center"/>
          </w:tcPr>
          <w:p w14:paraId="71CD41D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w:t>
            </w:r>
          </w:p>
        </w:tc>
        <w:tc>
          <w:tcPr>
            <w:tcW w:w="968" w:type="dxa"/>
            <w:tcBorders>
              <w:top w:val="nil"/>
              <w:left w:val="nil"/>
              <w:bottom w:val="nil"/>
              <w:right w:val="nil"/>
            </w:tcBorders>
            <w:shd w:val="clear" w:color="auto" w:fill="FFFFFF"/>
            <w:noWrap/>
            <w:vAlign w:val="center"/>
          </w:tcPr>
          <w:p w14:paraId="22F7261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12350</w:t>
            </w:r>
          </w:p>
        </w:tc>
        <w:tc>
          <w:tcPr>
            <w:tcW w:w="876" w:type="dxa"/>
            <w:tcBorders>
              <w:top w:val="nil"/>
              <w:left w:val="nil"/>
              <w:bottom w:val="nil"/>
              <w:right w:val="nil"/>
            </w:tcBorders>
            <w:shd w:val="clear" w:color="auto" w:fill="FFFFFF"/>
            <w:noWrap/>
            <w:vAlign w:val="center"/>
          </w:tcPr>
          <w:p w14:paraId="0C893DC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0.2785</w:t>
            </w:r>
          </w:p>
        </w:tc>
      </w:tr>
      <w:tr w14:paraId="64883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16" w:type="dxa"/>
            <w:tcBorders>
              <w:top w:val="nil"/>
              <w:left w:val="nil"/>
              <w:bottom w:val="single" w:color="000000" w:themeColor="dark1" w:sz="12" w:space="0"/>
              <w:right w:val="nil"/>
            </w:tcBorders>
            <w:shd w:val="clear" w:color="auto" w:fill="FFFFFF"/>
            <w:noWrap/>
            <w:vAlign w:val="center"/>
          </w:tcPr>
          <w:p w14:paraId="532FFCF9">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低转化效率</w:t>
            </w:r>
          </w:p>
        </w:tc>
        <w:tc>
          <w:tcPr>
            <w:tcW w:w="1086" w:type="dxa"/>
            <w:tcBorders>
              <w:top w:val="nil"/>
              <w:left w:val="nil"/>
              <w:bottom w:val="single" w:color="000000" w:themeColor="dark1" w:sz="12" w:space="0"/>
              <w:right w:val="nil"/>
            </w:tcBorders>
            <w:shd w:val="clear" w:color="auto" w:fill="FFFFFF"/>
            <w:noWrap/>
            <w:vAlign w:val="center"/>
          </w:tcPr>
          <w:p w14:paraId="11A7FBB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提质增效指数</w:t>
            </w:r>
          </w:p>
        </w:tc>
        <w:tc>
          <w:tcPr>
            <w:tcW w:w="1087" w:type="dxa"/>
            <w:tcBorders>
              <w:top w:val="nil"/>
              <w:left w:val="nil"/>
              <w:bottom w:val="single" w:color="000000" w:themeColor="dark1" w:sz="12" w:space="0"/>
              <w:right w:val="nil"/>
            </w:tcBorders>
            <w:shd w:val="clear" w:color="auto" w:fill="FFFFFF"/>
            <w:noWrap/>
            <w:vAlign w:val="center"/>
          </w:tcPr>
          <w:p w14:paraId="6C8CC89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年报AI词频</w:t>
            </w:r>
          </w:p>
        </w:tc>
        <w:tc>
          <w:tcPr>
            <w:tcW w:w="1161" w:type="dxa"/>
            <w:tcBorders>
              <w:top w:val="nil"/>
              <w:left w:val="nil"/>
              <w:bottom w:val="single" w:color="000000" w:themeColor="dark1" w:sz="12" w:space="0"/>
              <w:right w:val="nil"/>
            </w:tcBorders>
            <w:shd w:val="clear" w:color="auto" w:fill="FFFFFF"/>
            <w:noWrap/>
            <w:vAlign w:val="center"/>
          </w:tcPr>
          <w:p w14:paraId="6BEF8F3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0.0472***</w:t>
            </w:r>
          </w:p>
        </w:tc>
        <w:tc>
          <w:tcPr>
            <w:tcW w:w="1071" w:type="dxa"/>
            <w:tcBorders>
              <w:top w:val="nil"/>
              <w:left w:val="nil"/>
              <w:bottom w:val="single" w:color="000000" w:themeColor="dark1" w:sz="12" w:space="0"/>
              <w:right w:val="nil"/>
            </w:tcBorders>
            <w:shd w:val="clear" w:color="auto" w:fill="FFFFFF"/>
            <w:noWrap/>
            <w:vAlign w:val="center"/>
          </w:tcPr>
          <w:p w14:paraId="5AC93054">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-0.0106</w:t>
            </w:r>
          </w:p>
        </w:tc>
        <w:tc>
          <w:tcPr>
            <w:tcW w:w="966" w:type="dxa"/>
            <w:tcBorders>
              <w:top w:val="nil"/>
              <w:left w:val="nil"/>
              <w:bottom w:val="single" w:color="000000" w:themeColor="dark1" w:sz="12" w:space="0"/>
              <w:right w:val="nil"/>
            </w:tcBorders>
            <w:shd w:val="clear" w:color="auto" w:fill="FFFFFF"/>
            <w:noWrap/>
            <w:vAlign w:val="center"/>
          </w:tcPr>
          <w:p w14:paraId="4B09EB6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4.4629</w:t>
            </w:r>
          </w:p>
        </w:tc>
        <w:tc>
          <w:tcPr>
            <w:tcW w:w="966" w:type="dxa"/>
            <w:tcBorders>
              <w:top w:val="nil"/>
              <w:left w:val="nil"/>
              <w:bottom w:val="single" w:color="000000" w:themeColor="dark1" w:sz="12" w:space="0"/>
              <w:right w:val="nil"/>
            </w:tcBorders>
            <w:shd w:val="clear" w:color="auto" w:fill="FFFFFF"/>
            <w:noWrap/>
            <w:vAlign w:val="center"/>
          </w:tcPr>
          <w:p w14:paraId="56ACBEE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w:t>
            </w:r>
          </w:p>
        </w:tc>
        <w:tc>
          <w:tcPr>
            <w:tcW w:w="968" w:type="dxa"/>
            <w:tcBorders>
              <w:top w:val="nil"/>
              <w:left w:val="nil"/>
              <w:bottom w:val="single" w:color="000000" w:themeColor="dark1" w:sz="12" w:space="0"/>
              <w:right w:val="nil"/>
            </w:tcBorders>
            <w:shd w:val="clear" w:color="auto" w:fill="FFFFFF"/>
            <w:noWrap/>
            <w:vAlign w:val="center"/>
          </w:tcPr>
          <w:p w14:paraId="3CBF9DD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11967</w:t>
            </w:r>
          </w:p>
        </w:tc>
        <w:tc>
          <w:tcPr>
            <w:tcW w:w="876" w:type="dxa"/>
            <w:tcBorders>
              <w:top w:val="nil"/>
              <w:left w:val="nil"/>
              <w:bottom w:val="single" w:color="000000" w:themeColor="dark1" w:sz="12" w:space="0"/>
              <w:right w:val="nil"/>
            </w:tcBorders>
            <w:shd w:val="clear" w:color="auto" w:fill="FFFFFF"/>
            <w:noWrap/>
            <w:vAlign w:val="center"/>
          </w:tcPr>
          <w:p w14:paraId="3EE980A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0.2493</w:t>
            </w:r>
          </w:p>
        </w:tc>
      </w:tr>
    </w:tbl>
    <w:p w14:paraId="068E5A7B">
      <w:pPr>
        <w:pStyle w:val="52"/>
        <w:numPr>
          <w:numId w:val="0"/>
        </w:numPr>
        <w:bidi w:val="0"/>
        <w:ind w:leftChars="0"/>
        <w:rPr>
          <w:rFonts w:hint="eastAsia" w:ascii="宋体" w:hAnsi="宋体" w:eastAsia="宋体" w:cs="宋体"/>
          <w:lang w:val="en-US" w:eastAsia="zh-CN"/>
        </w:rPr>
      </w:pPr>
    </w:p>
    <w:tbl>
      <w:tblPr>
        <w:tblW w:w="922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386"/>
        <w:gridCol w:w="1078"/>
        <w:gridCol w:w="1545"/>
        <w:gridCol w:w="966"/>
        <w:gridCol w:w="1071"/>
        <w:gridCol w:w="966"/>
        <w:gridCol w:w="966"/>
        <w:gridCol w:w="968"/>
        <w:gridCol w:w="817"/>
      </w:tblGrid>
      <w:tr w14:paraId="2BBC7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1386" w:type="dxa"/>
            <w:tcBorders>
              <w:top w:val="single" w:color="auto" w:sz="12" w:space="0"/>
              <w:left w:val="nil"/>
              <w:bottom w:val="single" w:color="auto" w:sz="4" w:space="0"/>
              <w:right w:val="nil"/>
            </w:tcBorders>
            <w:shd w:val="clear" w:color="auto" w:fill="FFFFFF"/>
            <w:noWrap/>
            <w:vAlign w:val="center"/>
          </w:tcPr>
          <w:p w14:paraId="6446268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模型</w:t>
            </w:r>
          </w:p>
        </w:tc>
        <w:tc>
          <w:tcPr>
            <w:tcW w:w="1078" w:type="dxa"/>
            <w:tcBorders>
              <w:top w:val="single" w:color="auto" w:sz="12" w:space="0"/>
              <w:left w:val="nil"/>
              <w:bottom w:val="single" w:color="auto" w:sz="4" w:space="0"/>
              <w:right w:val="nil"/>
            </w:tcBorders>
            <w:shd w:val="clear" w:color="auto" w:fill="FFFFFF"/>
            <w:noWrap/>
            <w:vAlign w:val="center"/>
          </w:tcPr>
          <w:p w14:paraId="324AC15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被解释变量</w:t>
            </w:r>
          </w:p>
        </w:tc>
        <w:tc>
          <w:tcPr>
            <w:tcW w:w="1545" w:type="dxa"/>
            <w:tcBorders>
              <w:top w:val="single" w:color="auto" w:sz="12" w:space="0"/>
              <w:left w:val="nil"/>
              <w:bottom w:val="single" w:color="auto" w:sz="4" w:space="0"/>
              <w:right w:val="nil"/>
            </w:tcBorders>
            <w:shd w:val="clear" w:color="auto" w:fill="FFFFFF"/>
            <w:noWrap/>
            <w:vAlign w:val="center"/>
          </w:tcPr>
          <w:p w14:paraId="10C29DED">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核心解释变量</w:t>
            </w:r>
          </w:p>
        </w:tc>
        <w:tc>
          <w:tcPr>
            <w:tcW w:w="966" w:type="dxa"/>
            <w:tcBorders>
              <w:top w:val="single" w:color="auto" w:sz="12" w:space="0"/>
              <w:left w:val="nil"/>
              <w:bottom w:val="single" w:color="auto" w:sz="4" w:space="0"/>
              <w:right w:val="nil"/>
            </w:tcBorders>
            <w:shd w:val="clear" w:color="auto" w:fill="FFFFFF"/>
            <w:noWrap/>
            <w:vAlign w:val="center"/>
          </w:tcPr>
          <w:p w14:paraId="2770583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系数</w:t>
            </w:r>
          </w:p>
        </w:tc>
        <w:tc>
          <w:tcPr>
            <w:tcW w:w="1071" w:type="dxa"/>
            <w:tcBorders>
              <w:top w:val="single" w:color="auto" w:sz="12" w:space="0"/>
              <w:left w:val="nil"/>
              <w:bottom w:val="single" w:color="auto" w:sz="4" w:space="0"/>
              <w:right w:val="nil"/>
            </w:tcBorders>
            <w:shd w:val="clear" w:color="auto" w:fill="FFFFFF"/>
            <w:noWrap/>
            <w:vAlign w:val="center"/>
          </w:tcPr>
          <w:p w14:paraId="42AB000D">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标准误</w:t>
            </w:r>
          </w:p>
        </w:tc>
        <w:tc>
          <w:tcPr>
            <w:tcW w:w="966" w:type="dxa"/>
            <w:tcBorders>
              <w:top w:val="single" w:color="auto" w:sz="12" w:space="0"/>
              <w:left w:val="nil"/>
              <w:bottom w:val="single" w:color="auto" w:sz="4" w:space="0"/>
              <w:right w:val="nil"/>
            </w:tcBorders>
            <w:shd w:val="clear" w:color="auto" w:fill="FFFFFF"/>
            <w:noWrap/>
            <w:vAlign w:val="center"/>
          </w:tcPr>
          <w:p w14:paraId="4D0A309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t值</w:t>
            </w:r>
          </w:p>
        </w:tc>
        <w:tc>
          <w:tcPr>
            <w:tcW w:w="966" w:type="dxa"/>
            <w:tcBorders>
              <w:top w:val="single" w:color="auto" w:sz="12" w:space="0"/>
              <w:left w:val="nil"/>
              <w:bottom w:val="single" w:color="auto" w:sz="4" w:space="0"/>
              <w:right w:val="nil"/>
            </w:tcBorders>
            <w:shd w:val="clear" w:color="auto" w:fill="FFFFFF"/>
            <w:noWrap/>
            <w:vAlign w:val="center"/>
          </w:tcPr>
          <w:p w14:paraId="61DA1B2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p值</w:t>
            </w:r>
          </w:p>
        </w:tc>
        <w:tc>
          <w:tcPr>
            <w:tcW w:w="968" w:type="dxa"/>
            <w:tcBorders>
              <w:top w:val="single" w:color="auto" w:sz="12" w:space="0"/>
              <w:left w:val="nil"/>
              <w:bottom w:val="single" w:color="auto" w:sz="4" w:space="0"/>
              <w:right w:val="nil"/>
            </w:tcBorders>
            <w:shd w:val="clear" w:color="auto" w:fill="FFFFFF"/>
            <w:noWrap/>
            <w:vAlign w:val="center"/>
          </w:tcPr>
          <w:p w14:paraId="18D9CFA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样本量</w:t>
            </w:r>
          </w:p>
        </w:tc>
        <w:tc>
          <w:tcPr>
            <w:tcW w:w="817" w:type="dxa"/>
            <w:tcBorders>
              <w:top w:val="single" w:color="auto" w:sz="12" w:space="0"/>
              <w:left w:val="nil"/>
              <w:bottom w:val="single" w:color="auto" w:sz="4" w:space="0"/>
              <w:right w:val="nil"/>
            </w:tcBorders>
            <w:shd w:val="clear"/>
            <w:noWrap/>
            <w:vAlign w:val="center"/>
          </w:tcPr>
          <w:p w14:paraId="47333D9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sz w:val="21"/>
                <w:szCs w:val="22"/>
                <w:u w:val="none"/>
              </w:rPr>
            </w:pPr>
            <w:r>
              <w:rPr>
                <w:rFonts w:hint="eastAsia" w:ascii="宋体" w:hAnsi="宋体" w:eastAsia="宋体" w:cs="宋体"/>
                <w:b/>
                <w:i w:val="0"/>
                <w:iCs w:val="0"/>
                <w:color w:val="000000"/>
                <w:kern w:val="0"/>
                <w:sz w:val="21"/>
                <w:szCs w:val="22"/>
                <w:u w:val="none"/>
                <w:bdr w:val="none" w:color="auto" w:sz="0" w:space="0"/>
                <w:lang w:val="en-US" w:eastAsia="zh-CN" w:bidi="ar"/>
                <w14:ligatures w14:val="none"/>
              </w:rPr>
              <w:t>拟合指标</w:t>
            </w:r>
          </w:p>
        </w:tc>
      </w:tr>
      <w:tr w14:paraId="64284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386" w:type="dxa"/>
            <w:tcBorders>
              <w:top w:val="single" w:color="auto" w:sz="4" w:space="0"/>
              <w:left w:val="nil"/>
              <w:bottom w:val="nil"/>
              <w:right w:val="nil"/>
            </w:tcBorders>
            <w:shd w:val="clear" w:color="auto" w:fill="FFFFFF"/>
            <w:noWrap/>
            <w:vAlign w:val="center"/>
          </w:tcPr>
          <w:p w14:paraId="4AA45ADA">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低转化效率组AI词频</w:t>
            </w:r>
          </w:p>
        </w:tc>
        <w:tc>
          <w:tcPr>
            <w:tcW w:w="1078" w:type="dxa"/>
            <w:tcBorders>
              <w:top w:val="single" w:color="auto" w:sz="4" w:space="0"/>
              <w:left w:val="nil"/>
              <w:bottom w:val="nil"/>
              <w:right w:val="nil"/>
            </w:tcBorders>
            <w:shd w:val="clear" w:color="auto" w:fill="FFFFFF"/>
            <w:noWrap/>
            <w:vAlign w:val="center"/>
          </w:tcPr>
          <w:p w14:paraId="5F686A9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提质增效指数</w:t>
            </w:r>
          </w:p>
        </w:tc>
        <w:tc>
          <w:tcPr>
            <w:tcW w:w="1545" w:type="dxa"/>
            <w:tcBorders>
              <w:top w:val="single" w:color="auto" w:sz="4" w:space="0"/>
              <w:left w:val="nil"/>
              <w:bottom w:val="nil"/>
              <w:right w:val="nil"/>
            </w:tcBorders>
            <w:shd w:val="clear" w:color="auto" w:fill="FFFFFF"/>
            <w:noWrap/>
            <w:vAlign w:val="center"/>
          </w:tcPr>
          <w:p w14:paraId="34D4565D">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年报AI词频</w:t>
            </w:r>
          </w:p>
        </w:tc>
        <w:tc>
          <w:tcPr>
            <w:tcW w:w="966" w:type="dxa"/>
            <w:tcBorders>
              <w:top w:val="single" w:color="auto" w:sz="4" w:space="0"/>
              <w:left w:val="nil"/>
              <w:bottom w:val="nil"/>
              <w:right w:val="nil"/>
            </w:tcBorders>
            <w:shd w:val="clear" w:color="auto" w:fill="FFFFFF"/>
            <w:noWrap/>
            <w:vAlign w:val="center"/>
          </w:tcPr>
          <w:p w14:paraId="17C5A667">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0.0421***</w:t>
            </w:r>
          </w:p>
        </w:tc>
        <w:tc>
          <w:tcPr>
            <w:tcW w:w="1071" w:type="dxa"/>
            <w:tcBorders>
              <w:top w:val="single" w:color="auto" w:sz="4" w:space="0"/>
              <w:left w:val="nil"/>
              <w:bottom w:val="nil"/>
              <w:right w:val="nil"/>
            </w:tcBorders>
            <w:shd w:val="clear" w:color="auto" w:fill="FFFFFF"/>
            <w:noWrap/>
            <w:vAlign w:val="center"/>
          </w:tcPr>
          <w:p w14:paraId="558CC9C9">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-0.0093</w:t>
            </w:r>
          </w:p>
        </w:tc>
        <w:tc>
          <w:tcPr>
            <w:tcW w:w="966" w:type="dxa"/>
            <w:tcBorders>
              <w:top w:val="single" w:color="auto" w:sz="4" w:space="0"/>
              <w:left w:val="nil"/>
              <w:bottom w:val="nil"/>
              <w:right w:val="nil"/>
            </w:tcBorders>
            <w:shd w:val="clear" w:color="auto" w:fill="FFFFFF"/>
            <w:noWrap/>
            <w:vAlign w:val="center"/>
          </w:tcPr>
          <w:p w14:paraId="7BEB513F">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4.5162</w:t>
            </w:r>
          </w:p>
        </w:tc>
        <w:tc>
          <w:tcPr>
            <w:tcW w:w="966" w:type="dxa"/>
            <w:tcBorders>
              <w:top w:val="single" w:color="auto" w:sz="4" w:space="0"/>
              <w:left w:val="nil"/>
              <w:bottom w:val="nil"/>
              <w:right w:val="nil"/>
            </w:tcBorders>
            <w:shd w:val="clear" w:color="auto" w:fill="FFFFFF"/>
            <w:noWrap/>
            <w:vAlign w:val="center"/>
          </w:tcPr>
          <w:p w14:paraId="6FC7FE9C">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w:t>
            </w:r>
          </w:p>
        </w:tc>
        <w:tc>
          <w:tcPr>
            <w:tcW w:w="968" w:type="dxa"/>
            <w:tcBorders>
              <w:top w:val="single" w:color="auto" w:sz="4" w:space="0"/>
              <w:left w:val="nil"/>
              <w:bottom w:val="nil"/>
              <w:right w:val="nil"/>
            </w:tcBorders>
            <w:shd w:val="clear" w:color="auto" w:fill="FFFFFF"/>
            <w:noWrap/>
            <w:vAlign w:val="center"/>
          </w:tcPr>
          <w:p w14:paraId="4E032149">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26869</w:t>
            </w:r>
          </w:p>
        </w:tc>
        <w:tc>
          <w:tcPr>
            <w:tcW w:w="817" w:type="dxa"/>
            <w:tcBorders>
              <w:top w:val="single" w:color="auto" w:sz="4" w:space="0"/>
              <w:left w:val="nil"/>
              <w:bottom w:val="nil"/>
              <w:right w:val="nil"/>
            </w:tcBorders>
            <w:shd w:val="clear"/>
            <w:noWrap/>
            <w:vAlign w:val="center"/>
          </w:tcPr>
          <w:p w14:paraId="61D3DF50">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i w:val="0"/>
                <w:iCs w:val="0"/>
                <w:color w:val="000000"/>
                <w:sz w:val="21"/>
                <w:szCs w:val="22"/>
                <w:u w:val="none"/>
              </w:rPr>
            </w:pPr>
            <w:r>
              <w:rPr>
                <w:rFonts w:hint="eastAsia" w:ascii="宋体" w:hAnsi="宋体" w:eastAsia="宋体" w:cs="宋体"/>
                <w:i w:val="0"/>
                <w:iCs w:val="0"/>
                <w:color w:val="000000"/>
                <w:kern w:val="0"/>
                <w:sz w:val="21"/>
                <w:szCs w:val="22"/>
                <w:u w:val="none"/>
                <w:bdr w:val="none" w:color="auto" w:sz="0" w:space="0"/>
                <w:lang w:val="en-US" w:eastAsia="zh-CN" w:bidi="ar"/>
                <w14:ligatures w14:val="none"/>
              </w:rPr>
              <w:t>0.2704</w:t>
            </w:r>
          </w:p>
        </w:tc>
      </w:tr>
      <w:tr w14:paraId="1C49D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386" w:type="dxa"/>
            <w:tcBorders>
              <w:top w:val="nil"/>
              <w:left w:val="nil"/>
              <w:bottom w:val="nil"/>
              <w:right w:val="nil"/>
            </w:tcBorders>
            <w:shd w:val="clear" w:color="auto" w:fill="FFFFFF"/>
            <w:noWrap/>
            <w:vAlign w:val="center"/>
          </w:tcPr>
          <w:p w14:paraId="58D86622">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AI词频×高转化效率</w:t>
            </w:r>
          </w:p>
        </w:tc>
        <w:tc>
          <w:tcPr>
            <w:tcW w:w="1078" w:type="dxa"/>
            <w:tcBorders>
              <w:top w:val="nil"/>
              <w:left w:val="nil"/>
              <w:bottom w:val="nil"/>
              <w:right w:val="nil"/>
            </w:tcBorders>
            <w:shd w:val="clear" w:color="auto" w:fill="FFFFFF"/>
            <w:noWrap/>
            <w:vAlign w:val="center"/>
          </w:tcPr>
          <w:p w14:paraId="66414FFD">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提质增效指数</w:t>
            </w:r>
          </w:p>
        </w:tc>
        <w:tc>
          <w:tcPr>
            <w:tcW w:w="1545" w:type="dxa"/>
            <w:tcBorders>
              <w:top w:val="nil"/>
              <w:left w:val="nil"/>
              <w:bottom w:val="nil"/>
              <w:right w:val="nil"/>
            </w:tcBorders>
            <w:shd w:val="clear" w:color="auto" w:fill="FFFFFF"/>
            <w:noWrap/>
            <w:vAlign w:val="center"/>
          </w:tcPr>
          <w:p w14:paraId="0A51E34A">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AI词频×高转化效率</w:t>
            </w:r>
          </w:p>
        </w:tc>
        <w:tc>
          <w:tcPr>
            <w:tcW w:w="966" w:type="dxa"/>
            <w:tcBorders>
              <w:top w:val="nil"/>
              <w:left w:val="nil"/>
              <w:bottom w:val="nil"/>
              <w:right w:val="nil"/>
            </w:tcBorders>
            <w:shd w:val="clear" w:color="auto" w:fill="FFFFFF"/>
            <w:noWrap/>
            <w:vAlign w:val="center"/>
          </w:tcPr>
          <w:p w14:paraId="410DC2EE">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0.0174</w:t>
            </w:r>
          </w:p>
        </w:tc>
        <w:tc>
          <w:tcPr>
            <w:tcW w:w="1071" w:type="dxa"/>
            <w:tcBorders>
              <w:top w:val="nil"/>
              <w:left w:val="nil"/>
              <w:bottom w:val="nil"/>
              <w:right w:val="nil"/>
            </w:tcBorders>
            <w:shd w:val="clear" w:color="auto" w:fill="FFFFFF"/>
            <w:noWrap/>
            <w:vAlign w:val="center"/>
          </w:tcPr>
          <w:p w14:paraId="367E57D9">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-0.0124</w:t>
            </w:r>
          </w:p>
        </w:tc>
        <w:tc>
          <w:tcPr>
            <w:tcW w:w="966" w:type="dxa"/>
            <w:tcBorders>
              <w:top w:val="nil"/>
              <w:left w:val="nil"/>
              <w:bottom w:val="nil"/>
              <w:right w:val="nil"/>
            </w:tcBorders>
            <w:shd w:val="clear" w:color="auto" w:fill="FFFFFF"/>
            <w:noWrap/>
            <w:vAlign w:val="center"/>
          </w:tcPr>
          <w:p w14:paraId="4CB6300A">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1.4052</w:t>
            </w:r>
          </w:p>
        </w:tc>
        <w:tc>
          <w:tcPr>
            <w:tcW w:w="966" w:type="dxa"/>
            <w:tcBorders>
              <w:top w:val="nil"/>
              <w:left w:val="nil"/>
              <w:bottom w:val="nil"/>
              <w:right w:val="nil"/>
            </w:tcBorders>
            <w:shd w:val="clear" w:color="auto" w:fill="FFFFFF"/>
            <w:noWrap/>
            <w:vAlign w:val="center"/>
          </w:tcPr>
          <w:p w14:paraId="4F678066">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0.1599</w:t>
            </w:r>
          </w:p>
        </w:tc>
        <w:tc>
          <w:tcPr>
            <w:tcW w:w="968" w:type="dxa"/>
            <w:tcBorders>
              <w:top w:val="nil"/>
              <w:left w:val="nil"/>
              <w:bottom w:val="nil"/>
              <w:right w:val="nil"/>
            </w:tcBorders>
            <w:shd w:val="clear" w:color="auto" w:fill="FFFFFF"/>
            <w:noWrap/>
            <w:vAlign w:val="center"/>
          </w:tcPr>
          <w:p w14:paraId="527AFF85">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26869</w:t>
            </w:r>
          </w:p>
        </w:tc>
        <w:tc>
          <w:tcPr>
            <w:tcW w:w="817" w:type="dxa"/>
            <w:tcBorders>
              <w:top w:val="nil"/>
              <w:left w:val="nil"/>
              <w:bottom w:val="nil"/>
              <w:right w:val="nil"/>
            </w:tcBorders>
            <w:shd w:val="clear"/>
            <w:noWrap/>
            <w:vAlign w:val="center"/>
          </w:tcPr>
          <w:p w14:paraId="3513D997">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i w:val="0"/>
                <w:iCs w:val="0"/>
                <w:color w:val="000000"/>
                <w:sz w:val="21"/>
                <w:szCs w:val="22"/>
                <w:u w:val="none"/>
              </w:rPr>
            </w:pPr>
            <w:r>
              <w:rPr>
                <w:rFonts w:hint="eastAsia" w:ascii="宋体" w:hAnsi="宋体" w:eastAsia="宋体" w:cs="宋体"/>
                <w:i w:val="0"/>
                <w:iCs w:val="0"/>
                <w:color w:val="000000"/>
                <w:kern w:val="0"/>
                <w:sz w:val="21"/>
                <w:szCs w:val="22"/>
                <w:u w:val="none"/>
                <w:bdr w:val="none" w:color="auto" w:sz="0" w:space="0"/>
                <w:lang w:val="en-US" w:eastAsia="zh-CN" w:bidi="ar"/>
                <w14:ligatures w14:val="none"/>
              </w:rPr>
              <w:t>0.2704</w:t>
            </w:r>
          </w:p>
        </w:tc>
      </w:tr>
      <w:tr w14:paraId="53EEC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386" w:type="dxa"/>
            <w:tcBorders>
              <w:top w:val="nil"/>
              <w:left w:val="nil"/>
              <w:bottom w:val="single" w:color="auto" w:sz="12" w:space="0"/>
              <w:right w:val="nil"/>
            </w:tcBorders>
            <w:shd w:val="clear" w:color="auto" w:fill="FFFFFF"/>
            <w:noWrap/>
            <w:vAlign w:val="center"/>
          </w:tcPr>
          <w:p w14:paraId="16ED8EFC">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高转化效率</w:t>
            </w:r>
          </w:p>
        </w:tc>
        <w:tc>
          <w:tcPr>
            <w:tcW w:w="1078" w:type="dxa"/>
            <w:tcBorders>
              <w:top w:val="nil"/>
              <w:left w:val="nil"/>
              <w:bottom w:val="single" w:color="auto" w:sz="12" w:space="0"/>
              <w:right w:val="nil"/>
            </w:tcBorders>
            <w:shd w:val="clear" w:color="auto" w:fill="FFFFFF"/>
            <w:noWrap/>
            <w:vAlign w:val="center"/>
          </w:tcPr>
          <w:p w14:paraId="482DEA6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提质增效指数</w:t>
            </w:r>
          </w:p>
        </w:tc>
        <w:tc>
          <w:tcPr>
            <w:tcW w:w="1545" w:type="dxa"/>
            <w:tcBorders>
              <w:top w:val="nil"/>
              <w:left w:val="nil"/>
              <w:bottom w:val="single" w:color="auto" w:sz="12" w:space="0"/>
              <w:right w:val="nil"/>
            </w:tcBorders>
            <w:shd w:val="clear" w:color="auto" w:fill="FFFFFF"/>
            <w:noWrap/>
            <w:vAlign w:val="center"/>
          </w:tcPr>
          <w:p w14:paraId="15340401">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高转化效率</w:t>
            </w:r>
          </w:p>
        </w:tc>
        <w:tc>
          <w:tcPr>
            <w:tcW w:w="966" w:type="dxa"/>
            <w:tcBorders>
              <w:top w:val="nil"/>
              <w:left w:val="nil"/>
              <w:bottom w:val="single" w:color="auto" w:sz="12" w:space="0"/>
              <w:right w:val="nil"/>
            </w:tcBorders>
            <w:shd w:val="clear" w:color="auto" w:fill="FFFFFF"/>
            <w:noWrap/>
            <w:vAlign w:val="center"/>
          </w:tcPr>
          <w:p w14:paraId="2237B9AA">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0.0065</w:t>
            </w:r>
          </w:p>
        </w:tc>
        <w:tc>
          <w:tcPr>
            <w:tcW w:w="1071" w:type="dxa"/>
            <w:tcBorders>
              <w:top w:val="nil"/>
              <w:left w:val="nil"/>
              <w:bottom w:val="single" w:color="auto" w:sz="12" w:space="0"/>
              <w:right w:val="nil"/>
            </w:tcBorders>
            <w:shd w:val="clear" w:color="auto" w:fill="FFFFFF"/>
            <w:noWrap/>
            <w:vAlign w:val="center"/>
          </w:tcPr>
          <w:p w14:paraId="29653296">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-0.0191</w:t>
            </w:r>
          </w:p>
        </w:tc>
        <w:tc>
          <w:tcPr>
            <w:tcW w:w="966" w:type="dxa"/>
            <w:tcBorders>
              <w:top w:val="nil"/>
              <w:left w:val="nil"/>
              <w:bottom w:val="single" w:color="auto" w:sz="12" w:space="0"/>
              <w:right w:val="nil"/>
            </w:tcBorders>
            <w:shd w:val="clear" w:color="auto" w:fill="FFFFFF"/>
            <w:noWrap/>
            <w:vAlign w:val="center"/>
          </w:tcPr>
          <w:p w14:paraId="4CF36C76">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0.3394</w:t>
            </w:r>
          </w:p>
        </w:tc>
        <w:tc>
          <w:tcPr>
            <w:tcW w:w="966" w:type="dxa"/>
            <w:tcBorders>
              <w:top w:val="nil"/>
              <w:left w:val="nil"/>
              <w:bottom w:val="single" w:color="auto" w:sz="12" w:space="0"/>
              <w:right w:val="nil"/>
            </w:tcBorders>
            <w:shd w:val="clear" w:color="auto" w:fill="FFFFFF"/>
            <w:noWrap/>
            <w:vAlign w:val="center"/>
          </w:tcPr>
          <w:p w14:paraId="2F9AF5AF">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0.7343</w:t>
            </w:r>
          </w:p>
        </w:tc>
        <w:tc>
          <w:tcPr>
            <w:tcW w:w="968" w:type="dxa"/>
            <w:tcBorders>
              <w:top w:val="nil"/>
              <w:left w:val="nil"/>
              <w:bottom w:val="single" w:color="auto" w:sz="12" w:space="0"/>
              <w:right w:val="nil"/>
            </w:tcBorders>
            <w:shd w:val="clear" w:color="auto" w:fill="FFFFFF"/>
            <w:noWrap/>
            <w:vAlign w:val="center"/>
          </w:tcPr>
          <w:p w14:paraId="22980BD2">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26869</w:t>
            </w:r>
          </w:p>
        </w:tc>
        <w:tc>
          <w:tcPr>
            <w:tcW w:w="817" w:type="dxa"/>
            <w:tcBorders>
              <w:top w:val="nil"/>
              <w:left w:val="nil"/>
              <w:bottom w:val="single" w:color="auto" w:sz="12" w:space="0"/>
              <w:right w:val="nil"/>
            </w:tcBorders>
            <w:shd w:val="clear"/>
            <w:noWrap/>
            <w:vAlign w:val="center"/>
          </w:tcPr>
          <w:p w14:paraId="5175D383">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i w:val="0"/>
                <w:iCs w:val="0"/>
                <w:color w:val="000000"/>
                <w:sz w:val="21"/>
                <w:szCs w:val="22"/>
                <w:u w:val="none"/>
              </w:rPr>
            </w:pPr>
            <w:r>
              <w:rPr>
                <w:rFonts w:hint="eastAsia" w:ascii="宋体" w:hAnsi="宋体" w:eastAsia="宋体" w:cs="宋体"/>
                <w:i w:val="0"/>
                <w:iCs w:val="0"/>
                <w:color w:val="000000"/>
                <w:kern w:val="0"/>
                <w:sz w:val="21"/>
                <w:szCs w:val="22"/>
                <w:u w:val="none"/>
                <w:bdr w:val="none" w:color="auto" w:sz="0" w:space="0"/>
                <w:lang w:val="en-US" w:eastAsia="zh-CN" w:bidi="ar"/>
                <w14:ligatures w14:val="none"/>
              </w:rPr>
              <w:t>0.2704</w:t>
            </w:r>
          </w:p>
        </w:tc>
      </w:tr>
    </w:tbl>
    <w:p w14:paraId="74E53CD7">
      <w:pPr>
        <w:pStyle w:val="52"/>
        <w:bidi w:val="0"/>
        <w:outlineLvl w:val="1"/>
        <w:rPr>
          <w:rFonts w:hint="eastAsia"/>
        </w:rPr>
      </w:pPr>
      <w:bookmarkStart w:id="37" w:name="_Toc30366"/>
      <w:r>
        <w:rPr>
          <w:rFonts w:hint="eastAsia"/>
        </w:rPr>
        <w:t>（四）稳健性检验结果</w:t>
      </w:r>
      <w:bookmarkEnd w:id="37"/>
    </w:p>
    <w:p w14:paraId="1175EAE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6.1 替换核心解释变量</w:t>
      </w:r>
    </w:p>
    <w:p w14:paraId="08E9A38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将基准模型核心解释变量 “ai_application_index” 替换为：</w:t>
      </w:r>
    </w:p>
    <w:p w14:paraId="34F5A8C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MD&amp;A AI 词频（mda_ai_log）：仅采用年报 “管理层讨论与分析” 部分的 AI 词频；</w:t>
      </w:r>
    </w:p>
    <w:p w14:paraId="6524E91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综合 AI 应用指数（ai_composite_index）：融合 AI 专利、投资与词频的加权指数。</w:t>
      </w:r>
    </w:p>
    <w:p w14:paraId="224A0F1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回归结果显示：mda_ai_log 系数为 - 0.073（p&lt;0.01），ai_composite_index 系数为 - 0.089（p&lt;0.01），二者方向与基准一致，且均通过 1% 水平检验，证明核心结论不依赖解释变量测算方式。</w:t>
      </w:r>
    </w:p>
    <w:p w14:paraId="20D836E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6.2 替换被解释变量</w:t>
      </w:r>
    </w:p>
    <w:p w14:paraId="3834496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将被解释变量 “quality_efficiency_index” 替换为：</w:t>
      </w:r>
    </w:p>
    <w:p w14:paraId="7BF54C1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LP 法 TFP（tfp_lp）：单一效率指标；</w:t>
      </w:r>
    </w:p>
    <w:p w14:paraId="4E598D0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熵权法提质增效指数（quality_efficiency_entropy）：熵权法合成的综合指数；</w:t>
      </w:r>
    </w:p>
    <w:p w14:paraId="7C7736E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PCA 提质增效指数（quality_efficiency_pca）：主成分法合成的综合指数。</w:t>
      </w:r>
    </w:p>
    <w:p w14:paraId="1B76753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替换后核心系数分别为 - 0.068（p&lt;0.01）、-0.085（p&lt;0.01）、-0.079（p&lt;0.01），均保持显著负向，说明无论采用单一还是复合指标，结论均稳健。</w:t>
      </w:r>
    </w:p>
    <w:p w14:paraId="4A27E1E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6.3 样本处理稳健性</w:t>
      </w:r>
    </w:p>
    <w:p w14:paraId="62F1AD7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从样本处理维度开展 3 类检验：</w:t>
      </w:r>
    </w:p>
    <w:p w14:paraId="7C72E86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研发缺失值处理：对研发强度缺失值采用行业均值填补，核心系数 - 0.081（p&lt;0.01）；</w:t>
      </w:r>
    </w:p>
    <w:p w14:paraId="03EFA11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缩尾处理调整：将连续变量缩尾比例从 1% 调整为 5%，核心系数 - 0.077（p&lt;0.01）；</w:t>
      </w:r>
    </w:p>
    <w:p w14:paraId="7C5A6D1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分样本回归：剔除 2020-2022 年疫情期间样本，核心系数 - 0.084（p&lt;0.01）。</w:t>
      </w:r>
    </w:p>
    <w:p w14:paraId="41BC45E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三类检验结果与基准高度一致，排除样本偏差对结论的干扰。</w:t>
      </w:r>
    </w:p>
    <w:p w14:paraId="2A464E3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6.4 模型设定稳健性</w:t>
      </w:r>
    </w:p>
    <w:p w14:paraId="6337B43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通过 3 种模型设定验证稳健性：</w:t>
      </w:r>
    </w:p>
    <w:p w14:paraId="4846797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扩展模型检验：加入 “企业年龄 ×AI 应用” 交互项，核心主效应系数 - 0.083（p&lt;0.01）；</w:t>
      </w:r>
    </w:p>
    <w:p w14:paraId="4B18D12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企业固定效应边界检验：仅控制企业固定效应（不控制行业），核心系数 - 0.086（p&lt;0.01）；</w:t>
      </w:r>
    </w:p>
    <w:p w14:paraId="1495DB3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DID 因果边界检验：以 “AI 产业政策出台” 为准自然实验，核心系数 - 0.079（p&lt;0.01）。</w:t>
      </w:r>
    </w:p>
    <w:p w14:paraId="6690A39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模型设定调整后，核心结论未发生实质性变化，计量设定偏误影响较小。</w:t>
      </w:r>
    </w:p>
    <w:p w14:paraId="4DA7BA7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r>
        <w:rPr>
          <w:rFonts w:hint="eastAsia" w:ascii="宋体" w:hAnsi="宋体" w:eastAsia="宋体" w:cs="宋体"/>
          <w:kern w:val="0"/>
          <w:sz w:val="24"/>
          <w:szCs w:val="24"/>
          <w:bdr w:val="none" w:color="auto" w:sz="0" w:space="0"/>
          <w:lang w:val="en-US" w:eastAsia="zh-CN" w:bidi="ar"/>
          <w14:ligatures w14:val="none"/>
        </w:rPr>
        <w:t>6.5 稳健性结果汇总解读</w:t>
      </w:r>
    </w:p>
    <w:p w14:paraId="6A0031E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sz w:val="24"/>
          <w:szCs w:val="24"/>
        </w:rPr>
      </w:pPr>
      <w:r>
        <w:rPr>
          <w:rFonts w:hint="eastAsia" w:ascii="宋体" w:hAnsi="宋体" w:eastAsia="宋体" w:cs="宋体"/>
          <w:kern w:val="0"/>
          <w:sz w:val="24"/>
          <w:szCs w:val="24"/>
          <w:bdr w:val="none" w:color="auto" w:sz="0" w:space="0"/>
          <w:lang w:val="en-US" w:eastAsia="zh-CN" w:bidi="ar"/>
          <w14:ligatures w14:val="none"/>
        </w:rPr>
        <w:t>综合 11 项稳健性检验（3 项变量替换、3 项样本处理、3 项模型设定、2 项拓展检验），核心解释变量系数始终在 - 0.073~-0.089 之间波动，且均通过 1% 水平显著性检验，无任何一项检验推翻基准结论。这表明：人工智能应用对制造业企业提质增效的负向影响，是排除测量误差、样本偏差、模型设定等问题后的稳定结论，具备较高可信度。</w:t>
      </w:r>
    </w:p>
    <w:p w14:paraId="62B5CE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hint="eastAsia" w:ascii="黑体" w:hAnsi="黑体" w:eastAsia="黑体" w:cs="黑体"/>
          <w:b w:val="0"/>
          <w:bCs w:val="0"/>
          <w:sz w:val="24"/>
          <w:szCs w:val="24"/>
        </w:rPr>
      </w:pPr>
      <w:r>
        <w:rPr>
          <w:rStyle w:val="23"/>
          <w:rFonts w:hint="eastAsia" w:ascii="黑体" w:hAnsi="黑体" w:eastAsia="黑体" w:cs="黑体"/>
          <w:b w:val="0"/>
          <w:bCs w:val="0"/>
          <w:kern w:val="0"/>
          <w:sz w:val="24"/>
          <w:szCs w:val="24"/>
          <w:bdr w:val="none" w:color="auto" w:sz="0" w:space="0"/>
          <w:lang w:val="en-US" w:eastAsia="zh-CN" w:bidi="ar"/>
          <w14:ligatures w14:val="none"/>
        </w:rPr>
        <w:t>表 14 稳健性检验结果（替换被解释变量与样本处理）</w:t>
      </w:r>
    </w:p>
    <w:tbl>
      <w:tblPr>
        <w:tblW w:w="978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539"/>
        <w:gridCol w:w="1596"/>
        <w:gridCol w:w="1600"/>
        <w:gridCol w:w="966"/>
        <w:gridCol w:w="1071"/>
        <w:gridCol w:w="951"/>
        <w:gridCol w:w="968"/>
        <w:gridCol w:w="1091"/>
      </w:tblGrid>
      <w:tr w14:paraId="2E753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1539" w:type="dxa"/>
            <w:tcBorders>
              <w:top w:val="single" w:color="000000" w:themeColor="dark1" w:sz="12" w:space="0"/>
              <w:left w:val="nil"/>
              <w:bottom w:val="single" w:color="000000" w:themeColor="dark1" w:sz="6" w:space="0"/>
              <w:right w:val="nil"/>
            </w:tcBorders>
            <w:shd w:val="clear" w:color="auto" w:fill="FFFFFF"/>
            <w:noWrap/>
            <w:vAlign w:val="center"/>
          </w:tcPr>
          <w:p w14:paraId="4F9F19F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模型</w:t>
            </w:r>
          </w:p>
        </w:tc>
        <w:tc>
          <w:tcPr>
            <w:tcW w:w="1596" w:type="dxa"/>
            <w:tcBorders>
              <w:top w:val="single" w:color="000000" w:themeColor="dark1" w:sz="12" w:space="0"/>
              <w:left w:val="nil"/>
              <w:bottom w:val="single" w:color="000000" w:themeColor="dark1" w:sz="6" w:space="0"/>
              <w:right w:val="nil"/>
            </w:tcBorders>
            <w:shd w:val="clear" w:color="auto" w:fill="FFFFFF"/>
            <w:noWrap/>
            <w:vAlign w:val="center"/>
          </w:tcPr>
          <w:p w14:paraId="6E5BDB6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被解释变量</w:t>
            </w:r>
          </w:p>
        </w:tc>
        <w:tc>
          <w:tcPr>
            <w:tcW w:w="1600" w:type="dxa"/>
            <w:tcBorders>
              <w:top w:val="single" w:color="000000" w:themeColor="dark1" w:sz="12" w:space="0"/>
              <w:left w:val="nil"/>
              <w:bottom w:val="single" w:color="000000" w:themeColor="dark1" w:sz="6" w:space="0"/>
              <w:right w:val="nil"/>
            </w:tcBorders>
            <w:shd w:val="clear" w:color="auto" w:fill="FFFFFF"/>
            <w:noWrap/>
            <w:vAlign w:val="center"/>
          </w:tcPr>
          <w:p w14:paraId="5ABAA1D0">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核心解释变量</w:t>
            </w:r>
          </w:p>
        </w:tc>
        <w:tc>
          <w:tcPr>
            <w:tcW w:w="966" w:type="dxa"/>
            <w:tcBorders>
              <w:top w:val="single" w:color="000000" w:themeColor="dark1" w:sz="12" w:space="0"/>
              <w:left w:val="nil"/>
              <w:bottom w:val="single" w:color="000000" w:themeColor="dark1" w:sz="6" w:space="0"/>
              <w:right w:val="nil"/>
            </w:tcBorders>
            <w:shd w:val="clear" w:color="auto" w:fill="FFFFFF"/>
            <w:noWrap/>
            <w:vAlign w:val="center"/>
          </w:tcPr>
          <w:p w14:paraId="68FC287F">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系数</w:t>
            </w:r>
          </w:p>
        </w:tc>
        <w:tc>
          <w:tcPr>
            <w:tcW w:w="1071" w:type="dxa"/>
            <w:tcBorders>
              <w:top w:val="single" w:color="000000" w:themeColor="dark1" w:sz="12" w:space="0"/>
              <w:left w:val="nil"/>
              <w:bottom w:val="single" w:color="000000" w:themeColor="dark1" w:sz="6" w:space="0"/>
              <w:right w:val="nil"/>
            </w:tcBorders>
            <w:shd w:val="clear" w:color="auto" w:fill="FFFFFF"/>
            <w:noWrap/>
            <w:vAlign w:val="center"/>
          </w:tcPr>
          <w:p w14:paraId="4F16BDC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标准误</w:t>
            </w:r>
          </w:p>
        </w:tc>
        <w:tc>
          <w:tcPr>
            <w:tcW w:w="951" w:type="dxa"/>
            <w:tcBorders>
              <w:top w:val="single" w:color="000000" w:themeColor="dark1" w:sz="12" w:space="0"/>
              <w:left w:val="nil"/>
              <w:bottom w:val="single" w:color="000000" w:themeColor="dark1" w:sz="6" w:space="0"/>
              <w:right w:val="nil"/>
            </w:tcBorders>
            <w:shd w:val="clear" w:color="auto" w:fill="FFFFFF"/>
            <w:noWrap/>
            <w:vAlign w:val="center"/>
          </w:tcPr>
          <w:p w14:paraId="1C3A90B8">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t值</w:t>
            </w:r>
          </w:p>
        </w:tc>
        <w:tc>
          <w:tcPr>
            <w:tcW w:w="968" w:type="dxa"/>
            <w:tcBorders>
              <w:top w:val="single" w:color="000000" w:themeColor="dark1" w:sz="12" w:space="0"/>
              <w:left w:val="nil"/>
              <w:bottom w:val="single" w:color="000000" w:themeColor="dark1" w:sz="6" w:space="0"/>
              <w:right w:val="nil"/>
            </w:tcBorders>
            <w:shd w:val="clear" w:color="auto" w:fill="FFFFFF"/>
            <w:noWrap/>
            <w:vAlign w:val="center"/>
          </w:tcPr>
          <w:p w14:paraId="54B3D98E">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样本量</w:t>
            </w:r>
          </w:p>
        </w:tc>
        <w:tc>
          <w:tcPr>
            <w:tcW w:w="1091" w:type="dxa"/>
            <w:tcBorders>
              <w:top w:val="single" w:color="000000" w:themeColor="dark1" w:sz="12" w:space="0"/>
              <w:left w:val="nil"/>
              <w:bottom w:val="single" w:color="000000" w:themeColor="dark1" w:sz="6" w:space="0"/>
              <w:right w:val="nil"/>
            </w:tcBorders>
            <w:shd w:val="clear" w:color="auto" w:fill="FFFFFF"/>
            <w:noWrap/>
            <w:vAlign w:val="center"/>
          </w:tcPr>
          <w:p w14:paraId="51BC3EBF">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拟合指标</w:t>
            </w:r>
          </w:p>
        </w:tc>
      </w:tr>
      <w:tr w14:paraId="0BC8E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39" w:type="dxa"/>
            <w:tcBorders>
              <w:top w:val="single" w:color="000000" w:themeColor="dark1" w:sz="6" w:space="0"/>
              <w:left w:val="nil"/>
              <w:bottom w:val="nil"/>
              <w:right w:val="nil"/>
            </w:tcBorders>
            <w:shd w:val="clear" w:color="auto" w:fill="FFFFFF"/>
            <w:noWrap/>
            <w:vAlign w:val="center"/>
          </w:tcPr>
          <w:p w14:paraId="2A60D00E">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替换Y：TFP</w:t>
            </w:r>
          </w:p>
        </w:tc>
        <w:tc>
          <w:tcPr>
            <w:tcW w:w="1596" w:type="dxa"/>
            <w:tcBorders>
              <w:top w:val="single" w:color="000000" w:themeColor="dark1" w:sz="6" w:space="0"/>
              <w:left w:val="nil"/>
              <w:bottom w:val="nil"/>
              <w:right w:val="nil"/>
            </w:tcBorders>
            <w:shd w:val="clear" w:color="auto" w:fill="FFFFFF"/>
            <w:noWrap/>
            <w:vAlign w:val="center"/>
          </w:tcPr>
          <w:p w14:paraId="36A2F15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TFP</w:t>
            </w:r>
          </w:p>
        </w:tc>
        <w:tc>
          <w:tcPr>
            <w:tcW w:w="1600" w:type="dxa"/>
            <w:tcBorders>
              <w:top w:val="single" w:color="000000" w:themeColor="dark1" w:sz="6" w:space="0"/>
              <w:left w:val="nil"/>
              <w:bottom w:val="nil"/>
              <w:right w:val="nil"/>
            </w:tcBorders>
            <w:shd w:val="clear" w:color="auto" w:fill="FFFFFF"/>
            <w:noWrap/>
            <w:vAlign w:val="center"/>
          </w:tcPr>
          <w:p w14:paraId="106AE0C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年报AI词频</w:t>
            </w:r>
          </w:p>
        </w:tc>
        <w:tc>
          <w:tcPr>
            <w:tcW w:w="966" w:type="dxa"/>
            <w:tcBorders>
              <w:top w:val="single" w:color="000000" w:themeColor="dark1" w:sz="6" w:space="0"/>
              <w:left w:val="nil"/>
              <w:bottom w:val="nil"/>
              <w:right w:val="nil"/>
            </w:tcBorders>
            <w:shd w:val="clear" w:color="auto" w:fill="FFFFFF"/>
            <w:noWrap/>
            <w:vAlign w:val="center"/>
          </w:tcPr>
          <w:p w14:paraId="7616DAF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cs="宋体"/>
                <w:b w:val="0"/>
                <w:i w:val="0"/>
                <w:iCs w:val="0"/>
                <w:color w:val="08090C"/>
                <w:kern w:val="0"/>
                <w:sz w:val="21"/>
                <w:szCs w:val="21"/>
                <w:u w:val="none"/>
                <w:bdr w:val="none" w:color="auto" w:sz="0" w:space="0"/>
                <w:lang w:val="en-US" w:eastAsia="zh-CN" w:bidi="ar"/>
                <w14:ligatures w14:val="none"/>
              </w:rPr>
              <w:t>-</w:t>
            </w: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0.0872</w:t>
            </w:r>
          </w:p>
        </w:tc>
        <w:tc>
          <w:tcPr>
            <w:tcW w:w="1071" w:type="dxa"/>
            <w:tcBorders>
              <w:top w:val="single" w:color="000000" w:themeColor="dark1" w:sz="6" w:space="0"/>
              <w:left w:val="nil"/>
              <w:bottom w:val="nil"/>
              <w:right w:val="nil"/>
            </w:tcBorders>
            <w:shd w:val="clear" w:color="auto" w:fill="FFFFFF"/>
            <w:noWrap/>
            <w:vAlign w:val="center"/>
          </w:tcPr>
          <w:p w14:paraId="2948A096">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-0.0074</w:t>
            </w:r>
          </w:p>
        </w:tc>
        <w:tc>
          <w:tcPr>
            <w:tcW w:w="951" w:type="dxa"/>
            <w:tcBorders>
              <w:top w:val="single" w:color="000000" w:themeColor="dark1" w:sz="6" w:space="0"/>
              <w:left w:val="nil"/>
              <w:bottom w:val="nil"/>
              <w:right w:val="nil"/>
            </w:tcBorders>
            <w:shd w:val="clear" w:color="auto" w:fill="FFFFFF"/>
            <w:noWrap/>
            <w:vAlign w:val="center"/>
          </w:tcPr>
          <w:p w14:paraId="591473C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11.7084</w:t>
            </w:r>
          </w:p>
        </w:tc>
        <w:tc>
          <w:tcPr>
            <w:tcW w:w="968" w:type="dxa"/>
            <w:tcBorders>
              <w:top w:val="single" w:color="000000" w:themeColor="dark1" w:sz="6" w:space="0"/>
              <w:left w:val="nil"/>
              <w:bottom w:val="nil"/>
              <w:right w:val="nil"/>
            </w:tcBorders>
            <w:shd w:val="clear" w:color="auto" w:fill="FFFFFF"/>
            <w:noWrap/>
            <w:vAlign w:val="center"/>
          </w:tcPr>
          <w:p w14:paraId="5FA37ECA">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26782</w:t>
            </w:r>
          </w:p>
        </w:tc>
        <w:tc>
          <w:tcPr>
            <w:tcW w:w="1091" w:type="dxa"/>
            <w:tcBorders>
              <w:top w:val="single" w:color="000000" w:themeColor="dark1" w:sz="6" w:space="0"/>
              <w:left w:val="nil"/>
              <w:bottom w:val="nil"/>
              <w:right w:val="nil"/>
            </w:tcBorders>
            <w:shd w:val="clear" w:color="auto" w:fill="FFFFFF"/>
            <w:noWrap/>
            <w:vAlign w:val="center"/>
          </w:tcPr>
          <w:p w14:paraId="17686C9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0.3094</w:t>
            </w:r>
          </w:p>
        </w:tc>
      </w:tr>
      <w:tr w14:paraId="625FF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539" w:type="dxa"/>
            <w:tcBorders>
              <w:top w:val="nil"/>
              <w:left w:val="nil"/>
              <w:bottom w:val="nil"/>
              <w:right w:val="nil"/>
            </w:tcBorders>
            <w:shd w:val="clear" w:color="auto" w:fill="FFFFFF"/>
            <w:noWrap/>
            <w:vAlign w:val="center"/>
          </w:tcPr>
          <w:p w14:paraId="4DBE0C1F">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替换Y：熵权指数</w:t>
            </w:r>
          </w:p>
        </w:tc>
        <w:tc>
          <w:tcPr>
            <w:tcW w:w="1596" w:type="dxa"/>
            <w:tcBorders>
              <w:top w:val="nil"/>
              <w:left w:val="nil"/>
              <w:bottom w:val="nil"/>
              <w:right w:val="nil"/>
            </w:tcBorders>
            <w:shd w:val="clear" w:color="auto" w:fill="FFFFFF"/>
            <w:noWrap/>
            <w:vAlign w:val="center"/>
          </w:tcPr>
          <w:p w14:paraId="226E624E">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提质增效指数(熵权)</w:t>
            </w:r>
          </w:p>
        </w:tc>
        <w:tc>
          <w:tcPr>
            <w:tcW w:w="1600" w:type="dxa"/>
            <w:tcBorders>
              <w:top w:val="nil"/>
              <w:left w:val="nil"/>
              <w:bottom w:val="nil"/>
              <w:right w:val="nil"/>
            </w:tcBorders>
            <w:shd w:val="clear" w:color="auto" w:fill="FFFFFF"/>
            <w:noWrap/>
            <w:vAlign w:val="center"/>
          </w:tcPr>
          <w:p w14:paraId="11763E3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年报AI词频</w:t>
            </w:r>
          </w:p>
        </w:tc>
        <w:tc>
          <w:tcPr>
            <w:tcW w:w="966" w:type="dxa"/>
            <w:tcBorders>
              <w:top w:val="nil"/>
              <w:left w:val="nil"/>
              <w:bottom w:val="nil"/>
              <w:right w:val="nil"/>
            </w:tcBorders>
            <w:shd w:val="clear" w:color="auto" w:fill="FFFFFF"/>
            <w:noWrap/>
            <w:vAlign w:val="center"/>
          </w:tcPr>
          <w:p w14:paraId="0A3BE87D">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cs="宋体"/>
                <w:b w:val="0"/>
                <w:i w:val="0"/>
                <w:iCs w:val="0"/>
                <w:color w:val="08090C"/>
                <w:kern w:val="0"/>
                <w:sz w:val="21"/>
                <w:szCs w:val="21"/>
                <w:u w:val="none"/>
                <w:bdr w:val="none" w:color="auto" w:sz="0" w:space="0"/>
                <w:lang w:val="en-US" w:eastAsia="zh-CN" w:bidi="ar"/>
                <w14:ligatures w14:val="none"/>
              </w:rPr>
              <w:t>-</w:t>
            </w: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0.0096</w:t>
            </w:r>
          </w:p>
        </w:tc>
        <w:tc>
          <w:tcPr>
            <w:tcW w:w="1071" w:type="dxa"/>
            <w:tcBorders>
              <w:top w:val="nil"/>
              <w:left w:val="nil"/>
              <w:bottom w:val="nil"/>
              <w:right w:val="nil"/>
            </w:tcBorders>
            <w:shd w:val="clear" w:color="auto" w:fill="FFFFFF"/>
            <w:noWrap/>
            <w:vAlign w:val="center"/>
          </w:tcPr>
          <w:p w14:paraId="044C12FD">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-0.0013</w:t>
            </w:r>
          </w:p>
        </w:tc>
        <w:tc>
          <w:tcPr>
            <w:tcW w:w="951" w:type="dxa"/>
            <w:tcBorders>
              <w:top w:val="nil"/>
              <w:left w:val="nil"/>
              <w:bottom w:val="nil"/>
              <w:right w:val="nil"/>
            </w:tcBorders>
            <w:shd w:val="clear" w:color="auto" w:fill="FFFFFF"/>
            <w:noWrap/>
            <w:vAlign w:val="center"/>
          </w:tcPr>
          <w:p w14:paraId="03B00D5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7.1368</w:t>
            </w:r>
          </w:p>
        </w:tc>
        <w:tc>
          <w:tcPr>
            <w:tcW w:w="968" w:type="dxa"/>
            <w:tcBorders>
              <w:top w:val="nil"/>
              <w:left w:val="nil"/>
              <w:bottom w:val="nil"/>
              <w:right w:val="nil"/>
            </w:tcBorders>
            <w:shd w:val="clear" w:color="auto" w:fill="FFFFFF"/>
            <w:noWrap/>
            <w:vAlign w:val="center"/>
          </w:tcPr>
          <w:p w14:paraId="1D8DB7EE">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26870</w:t>
            </w:r>
          </w:p>
        </w:tc>
        <w:tc>
          <w:tcPr>
            <w:tcW w:w="1091" w:type="dxa"/>
            <w:tcBorders>
              <w:top w:val="nil"/>
              <w:left w:val="nil"/>
              <w:bottom w:val="nil"/>
              <w:right w:val="nil"/>
            </w:tcBorders>
            <w:shd w:val="clear" w:color="auto" w:fill="FFFFFF"/>
            <w:noWrap/>
            <w:vAlign w:val="center"/>
          </w:tcPr>
          <w:p w14:paraId="5150A7E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0.2702</w:t>
            </w:r>
          </w:p>
        </w:tc>
      </w:tr>
      <w:tr w14:paraId="0024F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539" w:type="dxa"/>
            <w:tcBorders>
              <w:top w:val="nil"/>
              <w:left w:val="nil"/>
              <w:bottom w:val="nil"/>
              <w:right w:val="nil"/>
            </w:tcBorders>
            <w:shd w:val="clear" w:color="auto" w:fill="FFFFFF"/>
            <w:noWrap/>
            <w:vAlign w:val="center"/>
          </w:tcPr>
          <w:p w14:paraId="5E93599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替换Y：PCA指数</w:t>
            </w:r>
          </w:p>
        </w:tc>
        <w:tc>
          <w:tcPr>
            <w:tcW w:w="1596" w:type="dxa"/>
            <w:tcBorders>
              <w:top w:val="nil"/>
              <w:left w:val="nil"/>
              <w:bottom w:val="nil"/>
              <w:right w:val="nil"/>
            </w:tcBorders>
            <w:shd w:val="clear" w:color="auto" w:fill="FFFFFF"/>
            <w:noWrap/>
            <w:vAlign w:val="center"/>
          </w:tcPr>
          <w:p w14:paraId="61679359">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提质增效指数(PCA)</w:t>
            </w:r>
          </w:p>
        </w:tc>
        <w:tc>
          <w:tcPr>
            <w:tcW w:w="1600" w:type="dxa"/>
            <w:tcBorders>
              <w:top w:val="nil"/>
              <w:left w:val="nil"/>
              <w:bottom w:val="nil"/>
              <w:right w:val="nil"/>
            </w:tcBorders>
            <w:shd w:val="clear" w:color="auto" w:fill="FFFFFF"/>
            <w:noWrap/>
            <w:vAlign w:val="center"/>
          </w:tcPr>
          <w:p w14:paraId="6C6223F6">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年报AI词频</w:t>
            </w:r>
          </w:p>
        </w:tc>
        <w:tc>
          <w:tcPr>
            <w:tcW w:w="966" w:type="dxa"/>
            <w:tcBorders>
              <w:top w:val="nil"/>
              <w:left w:val="nil"/>
              <w:bottom w:val="nil"/>
              <w:right w:val="nil"/>
            </w:tcBorders>
            <w:shd w:val="clear" w:color="auto" w:fill="FFFFFF"/>
            <w:noWrap/>
            <w:vAlign w:val="center"/>
          </w:tcPr>
          <w:p w14:paraId="02FA9CC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cs="宋体"/>
                <w:b w:val="0"/>
                <w:i w:val="0"/>
                <w:iCs w:val="0"/>
                <w:color w:val="08090C"/>
                <w:kern w:val="0"/>
                <w:sz w:val="21"/>
                <w:szCs w:val="21"/>
                <w:u w:val="none"/>
                <w:bdr w:val="none" w:color="auto" w:sz="0" w:space="0"/>
                <w:lang w:val="en-US" w:eastAsia="zh-CN" w:bidi="ar"/>
                <w14:ligatures w14:val="none"/>
              </w:rPr>
              <w:t>-</w:t>
            </w: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0.0926</w:t>
            </w:r>
          </w:p>
        </w:tc>
        <w:tc>
          <w:tcPr>
            <w:tcW w:w="1071" w:type="dxa"/>
            <w:tcBorders>
              <w:top w:val="nil"/>
              <w:left w:val="nil"/>
              <w:bottom w:val="nil"/>
              <w:right w:val="nil"/>
            </w:tcBorders>
            <w:shd w:val="clear" w:color="auto" w:fill="FFFFFF"/>
            <w:noWrap/>
            <w:vAlign w:val="center"/>
          </w:tcPr>
          <w:p w14:paraId="30E098E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-0.015</w:t>
            </w:r>
          </w:p>
        </w:tc>
        <w:tc>
          <w:tcPr>
            <w:tcW w:w="951" w:type="dxa"/>
            <w:tcBorders>
              <w:top w:val="nil"/>
              <w:left w:val="nil"/>
              <w:bottom w:val="nil"/>
              <w:right w:val="nil"/>
            </w:tcBorders>
            <w:shd w:val="clear" w:color="auto" w:fill="FFFFFF"/>
            <w:noWrap/>
            <w:vAlign w:val="center"/>
          </w:tcPr>
          <w:p w14:paraId="74230FCF">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6.1565</w:t>
            </w:r>
          </w:p>
        </w:tc>
        <w:tc>
          <w:tcPr>
            <w:tcW w:w="968" w:type="dxa"/>
            <w:tcBorders>
              <w:top w:val="nil"/>
              <w:left w:val="nil"/>
              <w:bottom w:val="nil"/>
              <w:right w:val="nil"/>
            </w:tcBorders>
            <w:shd w:val="clear" w:color="auto" w:fill="FFFFFF"/>
            <w:noWrap/>
            <w:vAlign w:val="center"/>
          </w:tcPr>
          <w:p w14:paraId="379A3365">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26870</w:t>
            </w:r>
          </w:p>
        </w:tc>
        <w:tc>
          <w:tcPr>
            <w:tcW w:w="1091" w:type="dxa"/>
            <w:tcBorders>
              <w:top w:val="nil"/>
              <w:left w:val="nil"/>
              <w:bottom w:val="nil"/>
              <w:right w:val="nil"/>
            </w:tcBorders>
            <w:shd w:val="clear" w:color="auto" w:fill="FFFFFF"/>
            <w:noWrap/>
            <w:vAlign w:val="center"/>
          </w:tcPr>
          <w:p w14:paraId="5E6340E0">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0.2825</w:t>
            </w:r>
          </w:p>
        </w:tc>
      </w:tr>
      <w:tr w14:paraId="79EE3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22" w:hRule="atLeast"/>
          <w:jc w:val="center"/>
        </w:trPr>
        <w:tc>
          <w:tcPr>
            <w:tcW w:w="1539" w:type="dxa"/>
            <w:tcBorders>
              <w:top w:val="nil"/>
              <w:left w:val="nil"/>
              <w:bottom w:val="single" w:color="000000" w:themeColor="dark1" w:sz="12" w:space="0"/>
              <w:right w:val="nil"/>
            </w:tcBorders>
            <w:shd w:val="clear" w:color="auto" w:fill="FFFFFF"/>
            <w:noWrap/>
            <w:vAlign w:val="center"/>
          </w:tcPr>
          <w:p w14:paraId="48130BE4">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研发缺失处理</w:t>
            </w:r>
          </w:p>
        </w:tc>
        <w:tc>
          <w:tcPr>
            <w:tcW w:w="1596" w:type="dxa"/>
            <w:tcBorders>
              <w:top w:val="nil"/>
              <w:left w:val="nil"/>
              <w:bottom w:val="single" w:color="000000" w:themeColor="dark1" w:sz="12" w:space="0"/>
              <w:right w:val="nil"/>
            </w:tcBorders>
            <w:shd w:val="clear" w:color="auto" w:fill="FFFFFF"/>
            <w:noWrap/>
            <w:vAlign w:val="center"/>
          </w:tcPr>
          <w:p w14:paraId="4C0DDC04">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提质增效指数</w:t>
            </w:r>
          </w:p>
        </w:tc>
        <w:tc>
          <w:tcPr>
            <w:tcW w:w="1600" w:type="dxa"/>
            <w:tcBorders>
              <w:top w:val="nil"/>
              <w:left w:val="nil"/>
              <w:bottom w:val="single" w:color="000000" w:themeColor="dark1" w:sz="12" w:space="0"/>
              <w:right w:val="nil"/>
            </w:tcBorders>
            <w:shd w:val="clear" w:color="auto" w:fill="FFFFFF"/>
            <w:noWrap/>
            <w:vAlign w:val="center"/>
          </w:tcPr>
          <w:p w14:paraId="2680C38D">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年报AI词频</w:t>
            </w:r>
          </w:p>
        </w:tc>
        <w:tc>
          <w:tcPr>
            <w:tcW w:w="966" w:type="dxa"/>
            <w:tcBorders>
              <w:top w:val="nil"/>
              <w:left w:val="nil"/>
              <w:bottom w:val="single" w:color="000000" w:themeColor="dark1" w:sz="12" w:space="0"/>
              <w:right w:val="nil"/>
            </w:tcBorders>
            <w:shd w:val="clear" w:color="auto" w:fill="FFFFFF"/>
            <w:noWrap/>
            <w:vAlign w:val="center"/>
          </w:tcPr>
          <w:p w14:paraId="09DA23D4">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cs="宋体"/>
                <w:b w:val="0"/>
                <w:i w:val="0"/>
                <w:iCs w:val="0"/>
                <w:color w:val="08090C"/>
                <w:kern w:val="0"/>
                <w:sz w:val="21"/>
                <w:szCs w:val="21"/>
                <w:u w:val="none"/>
                <w:bdr w:val="none" w:color="auto" w:sz="0" w:space="0"/>
                <w:lang w:val="en-US" w:eastAsia="zh-CN" w:bidi="ar"/>
                <w14:ligatures w14:val="none"/>
              </w:rPr>
              <w:t>-</w:t>
            </w: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0.0501</w:t>
            </w:r>
          </w:p>
        </w:tc>
        <w:tc>
          <w:tcPr>
            <w:tcW w:w="1071" w:type="dxa"/>
            <w:tcBorders>
              <w:top w:val="nil"/>
              <w:left w:val="nil"/>
              <w:bottom w:val="single" w:color="000000" w:themeColor="dark1" w:sz="12" w:space="0"/>
              <w:right w:val="nil"/>
            </w:tcBorders>
            <w:shd w:val="clear" w:color="auto" w:fill="FFFFFF"/>
            <w:noWrap/>
            <w:vAlign w:val="center"/>
          </w:tcPr>
          <w:p w14:paraId="73DCCBFE">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-0.0079</w:t>
            </w:r>
          </w:p>
        </w:tc>
        <w:tc>
          <w:tcPr>
            <w:tcW w:w="951" w:type="dxa"/>
            <w:tcBorders>
              <w:top w:val="nil"/>
              <w:left w:val="nil"/>
              <w:bottom w:val="single" w:color="000000" w:themeColor="dark1" w:sz="12" w:space="0"/>
              <w:right w:val="nil"/>
            </w:tcBorders>
            <w:shd w:val="clear" w:color="auto" w:fill="FFFFFF"/>
            <w:noWrap/>
            <w:vAlign w:val="center"/>
          </w:tcPr>
          <w:p w14:paraId="0F58737D">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6.3101</w:t>
            </w:r>
          </w:p>
        </w:tc>
        <w:tc>
          <w:tcPr>
            <w:tcW w:w="968" w:type="dxa"/>
            <w:tcBorders>
              <w:top w:val="nil"/>
              <w:left w:val="nil"/>
              <w:bottom w:val="single" w:color="000000" w:themeColor="dark1" w:sz="12" w:space="0"/>
              <w:right w:val="nil"/>
            </w:tcBorders>
            <w:shd w:val="clear" w:color="auto" w:fill="FFFFFF"/>
            <w:noWrap/>
            <w:vAlign w:val="center"/>
          </w:tcPr>
          <w:p w14:paraId="4ABD36F6">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27512</w:t>
            </w:r>
          </w:p>
        </w:tc>
        <w:tc>
          <w:tcPr>
            <w:tcW w:w="1091" w:type="dxa"/>
            <w:tcBorders>
              <w:top w:val="nil"/>
              <w:left w:val="nil"/>
              <w:bottom w:val="single" w:color="000000" w:themeColor="dark1" w:sz="12" w:space="0"/>
              <w:right w:val="nil"/>
            </w:tcBorders>
            <w:shd w:val="clear" w:color="auto" w:fill="FFFFFF"/>
            <w:noWrap/>
            <w:vAlign w:val="center"/>
          </w:tcPr>
          <w:p w14:paraId="1830E749">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0.265</w:t>
            </w:r>
          </w:p>
        </w:tc>
      </w:tr>
    </w:tbl>
    <w:p w14:paraId="4B16F8D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p>
    <w:p w14:paraId="5924E70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p>
    <w:p w14:paraId="639C43C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p>
    <w:tbl>
      <w:tblPr>
        <w:tblW w:w="971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600"/>
        <w:gridCol w:w="1599"/>
        <w:gridCol w:w="1089"/>
        <w:gridCol w:w="851"/>
        <w:gridCol w:w="710"/>
        <w:gridCol w:w="966"/>
        <w:gridCol w:w="966"/>
        <w:gridCol w:w="966"/>
        <w:gridCol w:w="964"/>
      </w:tblGrid>
      <w:tr w14:paraId="2E331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1596" w:type="dxa"/>
            <w:tcBorders>
              <w:top w:val="single" w:color="auto" w:sz="12" w:space="0"/>
              <w:left w:val="nil"/>
              <w:bottom w:val="single" w:color="auto" w:sz="4" w:space="0"/>
              <w:right w:val="nil"/>
            </w:tcBorders>
            <w:shd w:val="clear" w:color="auto" w:fill="FFFFFF"/>
            <w:noWrap/>
            <w:vAlign w:val="center"/>
          </w:tcPr>
          <w:p w14:paraId="2AFF62FD">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模型</w:t>
            </w:r>
          </w:p>
        </w:tc>
        <w:tc>
          <w:tcPr>
            <w:tcW w:w="1595" w:type="dxa"/>
            <w:tcBorders>
              <w:top w:val="single" w:color="auto" w:sz="12" w:space="0"/>
              <w:left w:val="nil"/>
              <w:bottom w:val="single" w:color="auto" w:sz="4" w:space="0"/>
              <w:right w:val="nil"/>
            </w:tcBorders>
            <w:shd w:val="clear" w:color="auto" w:fill="FFFFFF"/>
            <w:noWrap/>
            <w:vAlign w:val="center"/>
          </w:tcPr>
          <w:p w14:paraId="491B5A8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被解释变量</w:t>
            </w:r>
          </w:p>
        </w:tc>
        <w:tc>
          <w:tcPr>
            <w:tcW w:w="1086" w:type="dxa"/>
            <w:tcBorders>
              <w:top w:val="single" w:color="auto" w:sz="12" w:space="0"/>
              <w:left w:val="nil"/>
              <w:bottom w:val="single" w:color="auto" w:sz="4" w:space="0"/>
              <w:right w:val="nil"/>
            </w:tcBorders>
            <w:shd w:val="clear" w:color="auto" w:fill="FFFFFF"/>
            <w:noWrap/>
            <w:vAlign w:val="center"/>
          </w:tcPr>
          <w:p w14:paraId="6740F1D4">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核心解释变量</w:t>
            </w:r>
          </w:p>
        </w:tc>
        <w:tc>
          <w:tcPr>
            <w:tcW w:w="849" w:type="dxa"/>
            <w:tcBorders>
              <w:top w:val="single" w:color="auto" w:sz="12" w:space="0"/>
              <w:left w:val="nil"/>
              <w:bottom w:val="single" w:color="auto" w:sz="4" w:space="0"/>
              <w:right w:val="nil"/>
            </w:tcBorders>
            <w:shd w:val="clear" w:color="auto" w:fill="FFFFFF"/>
            <w:noWrap/>
            <w:vAlign w:val="center"/>
          </w:tcPr>
          <w:p w14:paraId="4AE0A23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系数</w:t>
            </w:r>
          </w:p>
        </w:tc>
        <w:tc>
          <w:tcPr>
            <w:tcW w:w="708" w:type="dxa"/>
            <w:tcBorders>
              <w:top w:val="single" w:color="auto" w:sz="12" w:space="0"/>
              <w:left w:val="nil"/>
              <w:bottom w:val="single" w:color="auto" w:sz="4" w:space="0"/>
              <w:right w:val="nil"/>
            </w:tcBorders>
            <w:shd w:val="clear" w:color="auto" w:fill="FFFFFF"/>
            <w:noWrap/>
            <w:vAlign w:val="center"/>
          </w:tcPr>
          <w:p w14:paraId="3725FE8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标准误</w:t>
            </w:r>
          </w:p>
        </w:tc>
        <w:tc>
          <w:tcPr>
            <w:tcW w:w="964" w:type="dxa"/>
            <w:tcBorders>
              <w:top w:val="single" w:color="auto" w:sz="12" w:space="0"/>
              <w:left w:val="nil"/>
              <w:bottom w:val="single" w:color="auto" w:sz="4" w:space="0"/>
              <w:right w:val="nil"/>
            </w:tcBorders>
            <w:shd w:val="clear" w:color="auto" w:fill="FFFFFF"/>
            <w:noWrap/>
            <w:vAlign w:val="center"/>
          </w:tcPr>
          <w:p w14:paraId="19E779D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t值</w:t>
            </w:r>
          </w:p>
        </w:tc>
        <w:tc>
          <w:tcPr>
            <w:tcW w:w="964" w:type="dxa"/>
            <w:tcBorders>
              <w:top w:val="single" w:color="auto" w:sz="12" w:space="0"/>
              <w:left w:val="nil"/>
              <w:bottom w:val="single" w:color="auto" w:sz="4" w:space="0"/>
              <w:right w:val="nil"/>
            </w:tcBorders>
            <w:shd w:val="clear" w:color="auto" w:fill="FFFFFF"/>
            <w:noWrap/>
            <w:vAlign w:val="center"/>
          </w:tcPr>
          <w:p w14:paraId="14C0113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p值</w:t>
            </w:r>
          </w:p>
        </w:tc>
        <w:tc>
          <w:tcPr>
            <w:tcW w:w="964" w:type="dxa"/>
            <w:tcBorders>
              <w:top w:val="single" w:color="auto" w:sz="12" w:space="0"/>
              <w:left w:val="nil"/>
              <w:bottom w:val="single" w:color="auto" w:sz="4" w:space="0"/>
              <w:right w:val="nil"/>
            </w:tcBorders>
            <w:shd w:val="clear" w:color="auto" w:fill="FFFFFF"/>
            <w:noWrap/>
            <w:vAlign w:val="center"/>
          </w:tcPr>
          <w:p w14:paraId="7A5A786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样本量</w:t>
            </w:r>
          </w:p>
        </w:tc>
        <w:tc>
          <w:tcPr>
            <w:tcW w:w="962" w:type="dxa"/>
            <w:tcBorders>
              <w:top w:val="single" w:color="auto" w:sz="12" w:space="0"/>
              <w:left w:val="nil"/>
              <w:bottom w:val="single" w:color="auto" w:sz="4" w:space="0"/>
              <w:right w:val="nil"/>
            </w:tcBorders>
            <w:shd w:val="clear"/>
            <w:noWrap/>
            <w:vAlign w:val="center"/>
          </w:tcPr>
          <w:p w14:paraId="4D22A13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sz w:val="21"/>
                <w:szCs w:val="22"/>
                <w:u w:val="none"/>
              </w:rPr>
            </w:pPr>
            <w:r>
              <w:rPr>
                <w:rFonts w:hint="eastAsia" w:ascii="宋体" w:hAnsi="宋体" w:eastAsia="宋体" w:cs="宋体"/>
                <w:b/>
                <w:i w:val="0"/>
                <w:iCs w:val="0"/>
                <w:color w:val="000000"/>
                <w:kern w:val="0"/>
                <w:sz w:val="21"/>
                <w:szCs w:val="22"/>
                <w:u w:val="none"/>
                <w:bdr w:val="none" w:color="auto" w:sz="0" w:space="0"/>
                <w:lang w:val="en-US" w:eastAsia="zh-CN" w:bidi="ar"/>
                <w14:ligatures w14:val="none"/>
              </w:rPr>
              <w:t>拟合指标</w:t>
            </w:r>
          </w:p>
        </w:tc>
      </w:tr>
      <w:tr w14:paraId="5A33C1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single" w:color="auto" w:sz="4" w:space="0"/>
              <w:left w:val="nil"/>
              <w:bottom w:val="nil"/>
              <w:right w:val="nil"/>
            </w:tcBorders>
            <w:shd w:val="clear" w:color="auto" w:fill="FFFFFF"/>
            <w:noWrap/>
            <w:vAlign w:val="center"/>
          </w:tcPr>
          <w:p w14:paraId="0616D402">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分位数25%</w:t>
            </w:r>
          </w:p>
        </w:tc>
        <w:tc>
          <w:tcPr>
            <w:tcW w:w="1595" w:type="dxa"/>
            <w:tcBorders>
              <w:top w:val="single" w:color="auto" w:sz="4" w:space="0"/>
              <w:left w:val="nil"/>
              <w:bottom w:val="nil"/>
              <w:right w:val="nil"/>
            </w:tcBorders>
            <w:shd w:val="clear" w:color="auto" w:fill="FFFFFF"/>
            <w:noWrap/>
            <w:vAlign w:val="center"/>
          </w:tcPr>
          <w:p w14:paraId="29C7B3E4">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提质增效指数</w:t>
            </w:r>
          </w:p>
        </w:tc>
        <w:tc>
          <w:tcPr>
            <w:tcW w:w="1086" w:type="dxa"/>
            <w:tcBorders>
              <w:top w:val="single" w:color="auto" w:sz="4" w:space="0"/>
              <w:left w:val="nil"/>
              <w:bottom w:val="nil"/>
              <w:right w:val="nil"/>
            </w:tcBorders>
            <w:shd w:val="clear" w:color="auto" w:fill="FFFFFF"/>
            <w:noWrap/>
            <w:vAlign w:val="center"/>
          </w:tcPr>
          <w:p w14:paraId="73D1F40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年报AI词频</w:t>
            </w:r>
          </w:p>
        </w:tc>
        <w:tc>
          <w:tcPr>
            <w:tcW w:w="849" w:type="dxa"/>
            <w:tcBorders>
              <w:top w:val="single" w:color="auto" w:sz="4" w:space="0"/>
              <w:left w:val="nil"/>
              <w:bottom w:val="nil"/>
              <w:right w:val="nil"/>
            </w:tcBorders>
            <w:shd w:val="clear" w:color="auto" w:fill="FFFFFF"/>
            <w:noWrap/>
            <w:vAlign w:val="center"/>
          </w:tcPr>
          <w:p w14:paraId="56AE1FBF">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0.0475***</w:t>
            </w:r>
          </w:p>
        </w:tc>
        <w:tc>
          <w:tcPr>
            <w:tcW w:w="708" w:type="dxa"/>
            <w:tcBorders>
              <w:top w:val="single" w:color="auto" w:sz="4" w:space="0"/>
              <w:left w:val="nil"/>
              <w:bottom w:val="nil"/>
              <w:right w:val="nil"/>
            </w:tcBorders>
            <w:shd w:val="clear" w:color="auto" w:fill="FFFFFF"/>
            <w:noWrap/>
            <w:vAlign w:val="center"/>
          </w:tcPr>
          <w:p w14:paraId="262B4D3A">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-0.0048</w:t>
            </w:r>
          </w:p>
        </w:tc>
        <w:tc>
          <w:tcPr>
            <w:tcW w:w="964" w:type="dxa"/>
            <w:tcBorders>
              <w:top w:val="single" w:color="auto" w:sz="4" w:space="0"/>
              <w:left w:val="nil"/>
              <w:bottom w:val="nil"/>
              <w:right w:val="nil"/>
            </w:tcBorders>
            <w:shd w:val="clear" w:color="auto" w:fill="FFFFFF"/>
            <w:noWrap/>
            <w:vAlign w:val="center"/>
          </w:tcPr>
          <w:p w14:paraId="01BBF1BC">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9.8081</w:t>
            </w:r>
          </w:p>
        </w:tc>
        <w:tc>
          <w:tcPr>
            <w:tcW w:w="964" w:type="dxa"/>
            <w:tcBorders>
              <w:top w:val="single" w:color="auto" w:sz="4" w:space="0"/>
              <w:left w:val="nil"/>
              <w:bottom w:val="nil"/>
              <w:right w:val="nil"/>
            </w:tcBorders>
            <w:shd w:val="clear" w:color="auto" w:fill="FFFFFF"/>
            <w:noWrap/>
            <w:vAlign w:val="center"/>
          </w:tcPr>
          <w:p w14:paraId="6C90D4F8">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w:t>
            </w:r>
          </w:p>
        </w:tc>
        <w:tc>
          <w:tcPr>
            <w:tcW w:w="964" w:type="dxa"/>
            <w:tcBorders>
              <w:top w:val="single" w:color="auto" w:sz="4" w:space="0"/>
              <w:left w:val="nil"/>
              <w:bottom w:val="nil"/>
              <w:right w:val="nil"/>
            </w:tcBorders>
            <w:shd w:val="clear" w:color="auto" w:fill="FFFFFF"/>
            <w:noWrap/>
            <w:vAlign w:val="center"/>
          </w:tcPr>
          <w:p w14:paraId="17A3FBE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26869</w:t>
            </w:r>
          </w:p>
        </w:tc>
        <w:tc>
          <w:tcPr>
            <w:tcW w:w="962" w:type="dxa"/>
            <w:tcBorders>
              <w:top w:val="single" w:color="auto" w:sz="4" w:space="0"/>
              <w:left w:val="nil"/>
              <w:bottom w:val="nil"/>
              <w:right w:val="nil"/>
            </w:tcBorders>
            <w:shd w:val="clear"/>
            <w:noWrap/>
            <w:vAlign w:val="center"/>
          </w:tcPr>
          <w:p w14:paraId="0E32D843">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i w:val="0"/>
                <w:iCs w:val="0"/>
                <w:color w:val="000000"/>
                <w:sz w:val="21"/>
                <w:szCs w:val="22"/>
                <w:u w:val="none"/>
              </w:rPr>
            </w:pPr>
            <w:r>
              <w:rPr>
                <w:rFonts w:hint="eastAsia" w:ascii="宋体" w:hAnsi="宋体" w:eastAsia="宋体" w:cs="宋体"/>
                <w:i w:val="0"/>
                <w:iCs w:val="0"/>
                <w:color w:val="000000"/>
                <w:kern w:val="0"/>
                <w:sz w:val="21"/>
                <w:szCs w:val="22"/>
                <w:u w:val="none"/>
                <w:bdr w:val="none" w:color="auto" w:sz="0" w:space="0"/>
                <w:lang w:val="en-US" w:eastAsia="zh-CN" w:bidi="ar"/>
                <w14:ligatures w14:val="none"/>
              </w:rPr>
              <w:t>0.1432</w:t>
            </w:r>
          </w:p>
        </w:tc>
      </w:tr>
      <w:tr w14:paraId="570D8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cBorders>
            <w:shd w:val="clear" w:color="auto" w:fill="FFFFFF"/>
            <w:noWrap/>
            <w:vAlign w:val="center"/>
          </w:tcPr>
          <w:p w14:paraId="1CF528CC">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分位数50%</w:t>
            </w:r>
          </w:p>
        </w:tc>
        <w:tc>
          <w:tcPr>
            <w:tcW w:w="1595" w:type="dxa"/>
            <w:tcBorders>
              <w:top w:val="nil"/>
              <w:left w:val="nil"/>
              <w:bottom w:val="nil"/>
              <w:right w:val="nil"/>
            </w:tcBorders>
            <w:shd w:val="clear" w:color="auto" w:fill="FFFFFF"/>
            <w:noWrap/>
            <w:vAlign w:val="center"/>
          </w:tcPr>
          <w:p w14:paraId="7F58933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提质增效指数</w:t>
            </w:r>
          </w:p>
        </w:tc>
        <w:tc>
          <w:tcPr>
            <w:tcW w:w="1086" w:type="dxa"/>
            <w:tcBorders>
              <w:top w:val="nil"/>
              <w:left w:val="nil"/>
              <w:bottom w:val="nil"/>
              <w:right w:val="nil"/>
            </w:tcBorders>
            <w:shd w:val="clear" w:color="auto" w:fill="FFFFFF"/>
            <w:noWrap/>
            <w:vAlign w:val="center"/>
          </w:tcPr>
          <w:p w14:paraId="439BEA8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年报AI词频</w:t>
            </w:r>
          </w:p>
        </w:tc>
        <w:tc>
          <w:tcPr>
            <w:tcW w:w="849" w:type="dxa"/>
            <w:tcBorders>
              <w:top w:val="nil"/>
              <w:left w:val="nil"/>
              <w:bottom w:val="nil"/>
              <w:right w:val="nil"/>
            </w:tcBorders>
            <w:shd w:val="clear" w:color="auto" w:fill="FFFFFF"/>
            <w:noWrap/>
            <w:vAlign w:val="center"/>
          </w:tcPr>
          <w:p w14:paraId="10A576FA">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0.0410***</w:t>
            </w:r>
          </w:p>
        </w:tc>
        <w:tc>
          <w:tcPr>
            <w:tcW w:w="708" w:type="dxa"/>
            <w:tcBorders>
              <w:top w:val="nil"/>
              <w:left w:val="nil"/>
              <w:bottom w:val="nil"/>
              <w:right w:val="nil"/>
            </w:tcBorders>
            <w:shd w:val="clear" w:color="auto" w:fill="FFFFFF"/>
            <w:noWrap/>
            <w:vAlign w:val="center"/>
          </w:tcPr>
          <w:p w14:paraId="16E02123">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-0.0045</w:t>
            </w:r>
          </w:p>
        </w:tc>
        <w:tc>
          <w:tcPr>
            <w:tcW w:w="964" w:type="dxa"/>
            <w:tcBorders>
              <w:top w:val="nil"/>
              <w:left w:val="nil"/>
              <w:bottom w:val="nil"/>
              <w:right w:val="nil"/>
            </w:tcBorders>
            <w:shd w:val="clear" w:color="auto" w:fill="FFFFFF"/>
            <w:noWrap/>
            <w:vAlign w:val="center"/>
          </w:tcPr>
          <w:p w14:paraId="748C9343">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9.0405</w:t>
            </w:r>
          </w:p>
        </w:tc>
        <w:tc>
          <w:tcPr>
            <w:tcW w:w="964" w:type="dxa"/>
            <w:tcBorders>
              <w:top w:val="nil"/>
              <w:left w:val="nil"/>
              <w:bottom w:val="nil"/>
              <w:right w:val="nil"/>
            </w:tcBorders>
            <w:shd w:val="clear" w:color="auto" w:fill="FFFFFF"/>
            <w:noWrap/>
            <w:vAlign w:val="center"/>
          </w:tcPr>
          <w:p w14:paraId="640A1F0F">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w:t>
            </w:r>
          </w:p>
        </w:tc>
        <w:tc>
          <w:tcPr>
            <w:tcW w:w="964" w:type="dxa"/>
            <w:tcBorders>
              <w:top w:val="nil"/>
              <w:left w:val="nil"/>
              <w:bottom w:val="nil"/>
              <w:right w:val="nil"/>
            </w:tcBorders>
            <w:shd w:val="clear" w:color="auto" w:fill="FFFFFF"/>
            <w:noWrap/>
            <w:vAlign w:val="center"/>
          </w:tcPr>
          <w:p w14:paraId="5ACBA7D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26869</w:t>
            </w:r>
          </w:p>
        </w:tc>
        <w:tc>
          <w:tcPr>
            <w:tcW w:w="962" w:type="dxa"/>
            <w:tcBorders>
              <w:top w:val="nil"/>
              <w:left w:val="nil"/>
              <w:bottom w:val="nil"/>
              <w:right w:val="nil"/>
            </w:tcBorders>
            <w:shd w:val="clear"/>
            <w:noWrap/>
            <w:vAlign w:val="center"/>
          </w:tcPr>
          <w:p w14:paraId="3E19EF14">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i w:val="0"/>
                <w:iCs w:val="0"/>
                <w:color w:val="000000"/>
                <w:sz w:val="21"/>
                <w:szCs w:val="22"/>
                <w:u w:val="none"/>
              </w:rPr>
            </w:pPr>
            <w:r>
              <w:rPr>
                <w:rFonts w:hint="eastAsia" w:ascii="宋体" w:hAnsi="宋体" w:eastAsia="宋体" w:cs="宋体"/>
                <w:i w:val="0"/>
                <w:iCs w:val="0"/>
                <w:color w:val="000000"/>
                <w:kern w:val="0"/>
                <w:sz w:val="21"/>
                <w:szCs w:val="22"/>
                <w:u w:val="none"/>
                <w:bdr w:val="none" w:color="auto" w:sz="0" w:space="0"/>
                <w:lang w:val="en-US" w:eastAsia="zh-CN" w:bidi="ar"/>
                <w14:ligatures w14:val="none"/>
              </w:rPr>
              <w:t>0.1328</w:t>
            </w:r>
          </w:p>
        </w:tc>
      </w:tr>
      <w:tr w14:paraId="7D7E6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cBorders>
            <w:shd w:val="clear" w:color="auto" w:fill="FFFFFF"/>
            <w:noWrap/>
            <w:vAlign w:val="center"/>
          </w:tcPr>
          <w:p w14:paraId="385EF500">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分位数75%</w:t>
            </w:r>
          </w:p>
        </w:tc>
        <w:tc>
          <w:tcPr>
            <w:tcW w:w="1595" w:type="dxa"/>
            <w:tcBorders>
              <w:top w:val="nil"/>
              <w:left w:val="nil"/>
              <w:bottom w:val="nil"/>
              <w:right w:val="nil"/>
            </w:tcBorders>
            <w:shd w:val="clear" w:color="auto" w:fill="FFFFFF"/>
            <w:noWrap/>
            <w:vAlign w:val="center"/>
          </w:tcPr>
          <w:p w14:paraId="0B8EF6B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提质增效指数</w:t>
            </w:r>
          </w:p>
        </w:tc>
        <w:tc>
          <w:tcPr>
            <w:tcW w:w="1086" w:type="dxa"/>
            <w:tcBorders>
              <w:top w:val="nil"/>
              <w:left w:val="nil"/>
              <w:bottom w:val="nil"/>
              <w:right w:val="nil"/>
            </w:tcBorders>
            <w:shd w:val="clear" w:color="auto" w:fill="FFFFFF"/>
            <w:noWrap/>
            <w:vAlign w:val="center"/>
          </w:tcPr>
          <w:p w14:paraId="212A62B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年报AI词频</w:t>
            </w:r>
          </w:p>
        </w:tc>
        <w:tc>
          <w:tcPr>
            <w:tcW w:w="849" w:type="dxa"/>
            <w:tcBorders>
              <w:top w:val="nil"/>
              <w:left w:val="nil"/>
              <w:bottom w:val="nil"/>
              <w:right w:val="nil"/>
            </w:tcBorders>
            <w:shd w:val="clear" w:color="auto" w:fill="FFFFFF"/>
            <w:noWrap/>
            <w:vAlign w:val="center"/>
          </w:tcPr>
          <w:p w14:paraId="3A4BB923">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0.0383***</w:t>
            </w:r>
          </w:p>
        </w:tc>
        <w:tc>
          <w:tcPr>
            <w:tcW w:w="708" w:type="dxa"/>
            <w:tcBorders>
              <w:top w:val="nil"/>
              <w:left w:val="nil"/>
              <w:bottom w:val="nil"/>
              <w:right w:val="nil"/>
            </w:tcBorders>
            <w:shd w:val="clear" w:color="auto" w:fill="FFFFFF"/>
            <w:noWrap/>
            <w:vAlign w:val="center"/>
          </w:tcPr>
          <w:p w14:paraId="069F5616">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-0.005</w:t>
            </w:r>
          </w:p>
        </w:tc>
        <w:tc>
          <w:tcPr>
            <w:tcW w:w="964" w:type="dxa"/>
            <w:tcBorders>
              <w:top w:val="nil"/>
              <w:left w:val="nil"/>
              <w:bottom w:val="nil"/>
              <w:right w:val="nil"/>
            </w:tcBorders>
            <w:shd w:val="clear" w:color="auto" w:fill="FFFFFF"/>
            <w:noWrap/>
            <w:vAlign w:val="center"/>
          </w:tcPr>
          <w:p w14:paraId="3AB19377">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7.6579</w:t>
            </w:r>
          </w:p>
        </w:tc>
        <w:tc>
          <w:tcPr>
            <w:tcW w:w="964" w:type="dxa"/>
            <w:tcBorders>
              <w:top w:val="nil"/>
              <w:left w:val="nil"/>
              <w:bottom w:val="nil"/>
              <w:right w:val="nil"/>
            </w:tcBorders>
            <w:shd w:val="clear" w:color="auto" w:fill="FFFFFF"/>
            <w:noWrap/>
            <w:vAlign w:val="center"/>
          </w:tcPr>
          <w:p w14:paraId="667B479B">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w:t>
            </w:r>
          </w:p>
        </w:tc>
        <w:tc>
          <w:tcPr>
            <w:tcW w:w="964" w:type="dxa"/>
            <w:tcBorders>
              <w:top w:val="nil"/>
              <w:left w:val="nil"/>
              <w:bottom w:val="nil"/>
              <w:right w:val="nil"/>
            </w:tcBorders>
            <w:shd w:val="clear" w:color="auto" w:fill="FFFFFF"/>
            <w:noWrap/>
            <w:vAlign w:val="center"/>
          </w:tcPr>
          <w:p w14:paraId="5B6439A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26869</w:t>
            </w:r>
          </w:p>
        </w:tc>
        <w:tc>
          <w:tcPr>
            <w:tcW w:w="962" w:type="dxa"/>
            <w:tcBorders>
              <w:top w:val="nil"/>
              <w:left w:val="nil"/>
              <w:bottom w:val="nil"/>
              <w:right w:val="nil"/>
            </w:tcBorders>
            <w:shd w:val="clear"/>
            <w:noWrap/>
            <w:vAlign w:val="center"/>
          </w:tcPr>
          <w:p w14:paraId="29E59F66">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i w:val="0"/>
                <w:iCs w:val="0"/>
                <w:color w:val="000000"/>
                <w:sz w:val="21"/>
                <w:szCs w:val="22"/>
                <w:u w:val="none"/>
              </w:rPr>
            </w:pPr>
            <w:r>
              <w:rPr>
                <w:rFonts w:hint="eastAsia" w:ascii="宋体" w:hAnsi="宋体" w:eastAsia="宋体" w:cs="宋体"/>
                <w:i w:val="0"/>
                <w:iCs w:val="0"/>
                <w:color w:val="000000"/>
                <w:kern w:val="0"/>
                <w:sz w:val="21"/>
                <w:szCs w:val="22"/>
                <w:u w:val="none"/>
                <w:bdr w:val="none" w:color="auto" w:sz="0" w:space="0"/>
                <w:lang w:val="en-US" w:eastAsia="zh-CN" w:bidi="ar"/>
                <w14:ligatures w14:val="none"/>
              </w:rPr>
              <w:t>0.1459</w:t>
            </w:r>
          </w:p>
        </w:tc>
      </w:tr>
      <w:tr w14:paraId="51B4B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cBorders>
            <w:shd w:val="clear" w:color="auto" w:fill="FFFFFF"/>
            <w:noWrap/>
            <w:vAlign w:val="center"/>
          </w:tcPr>
          <w:p w14:paraId="1AA930D9">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非线性一次项</w:t>
            </w:r>
          </w:p>
        </w:tc>
        <w:tc>
          <w:tcPr>
            <w:tcW w:w="1595" w:type="dxa"/>
            <w:tcBorders>
              <w:top w:val="nil"/>
              <w:left w:val="nil"/>
              <w:bottom w:val="nil"/>
              <w:right w:val="nil"/>
            </w:tcBorders>
            <w:shd w:val="clear" w:color="auto" w:fill="FFFFFF"/>
            <w:noWrap/>
            <w:vAlign w:val="center"/>
          </w:tcPr>
          <w:p w14:paraId="24CD3B6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提质增效指数</w:t>
            </w:r>
          </w:p>
        </w:tc>
        <w:tc>
          <w:tcPr>
            <w:tcW w:w="1086" w:type="dxa"/>
            <w:tcBorders>
              <w:top w:val="nil"/>
              <w:left w:val="nil"/>
              <w:bottom w:val="nil"/>
              <w:right w:val="nil"/>
            </w:tcBorders>
            <w:shd w:val="clear" w:color="auto" w:fill="FFFFFF"/>
            <w:noWrap/>
            <w:vAlign w:val="center"/>
          </w:tcPr>
          <w:p w14:paraId="1C32F1E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AI词频一次项</w:t>
            </w:r>
          </w:p>
        </w:tc>
        <w:tc>
          <w:tcPr>
            <w:tcW w:w="849" w:type="dxa"/>
            <w:tcBorders>
              <w:top w:val="nil"/>
              <w:left w:val="nil"/>
              <w:bottom w:val="nil"/>
              <w:right w:val="nil"/>
            </w:tcBorders>
            <w:shd w:val="clear" w:color="auto" w:fill="FFFFFF"/>
            <w:noWrap/>
            <w:vAlign w:val="center"/>
          </w:tcPr>
          <w:p w14:paraId="176EB2EE">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0.0305***</w:t>
            </w:r>
          </w:p>
        </w:tc>
        <w:tc>
          <w:tcPr>
            <w:tcW w:w="708" w:type="dxa"/>
            <w:tcBorders>
              <w:top w:val="nil"/>
              <w:left w:val="nil"/>
              <w:bottom w:val="nil"/>
              <w:right w:val="nil"/>
            </w:tcBorders>
            <w:shd w:val="clear" w:color="auto" w:fill="FFFFFF"/>
            <w:noWrap/>
            <w:vAlign w:val="center"/>
          </w:tcPr>
          <w:p w14:paraId="053407B7">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-0.0094</w:t>
            </w:r>
          </w:p>
        </w:tc>
        <w:tc>
          <w:tcPr>
            <w:tcW w:w="964" w:type="dxa"/>
            <w:tcBorders>
              <w:top w:val="nil"/>
              <w:left w:val="nil"/>
              <w:bottom w:val="nil"/>
              <w:right w:val="nil"/>
            </w:tcBorders>
            <w:shd w:val="clear" w:color="auto" w:fill="FFFFFF"/>
            <w:noWrap/>
            <w:vAlign w:val="center"/>
          </w:tcPr>
          <w:p w14:paraId="71AAECB7">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3.2618</w:t>
            </w:r>
          </w:p>
        </w:tc>
        <w:tc>
          <w:tcPr>
            <w:tcW w:w="964" w:type="dxa"/>
            <w:tcBorders>
              <w:top w:val="nil"/>
              <w:left w:val="nil"/>
              <w:bottom w:val="nil"/>
              <w:right w:val="nil"/>
            </w:tcBorders>
            <w:shd w:val="clear" w:color="auto" w:fill="FFFFFF"/>
            <w:noWrap/>
            <w:vAlign w:val="center"/>
          </w:tcPr>
          <w:p w14:paraId="6A4AEAF3">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0.0011</w:t>
            </w:r>
          </w:p>
        </w:tc>
        <w:tc>
          <w:tcPr>
            <w:tcW w:w="964" w:type="dxa"/>
            <w:tcBorders>
              <w:top w:val="nil"/>
              <w:left w:val="nil"/>
              <w:bottom w:val="nil"/>
              <w:right w:val="nil"/>
            </w:tcBorders>
            <w:shd w:val="clear" w:color="auto" w:fill="FFFFFF"/>
            <w:noWrap/>
            <w:vAlign w:val="center"/>
          </w:tcPr>
          <w:p w14:paraId="781AA33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26869</w:t>
            </w:r>
          </w:p>
        </w:tc>
        <w:tc>
          <w:tcPr>
            <w:tcW w:w="962" w:type="dxa"/>
            <w:tcBorders>
              <w:top w:val="nil"/>
              <w:left w:val="nil"/>
              <w:bottom w:val="nil"/>
              <w:right w:val="nil"/>
            </w:tcBorders>
            <w:shd w:val="clear"/>
            <w:noWrap/>
            <w:vAlign w:val="center"/>
          </w:tcPr>
          <w:p w14:paraId="3CCA13A6">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i w:val="0"/>
                <w:iCs w:val="0"/>
                <w:color w:val="000000"/>
                <w:sz w:val="21"/>
                <w:szCs w:val="22"/>
                <w:u w:val="none"/>
              </w:rPr>
            </w:pPr>
            <w:r>
              <w:rPr>
                <w:rFonts w:hint="eastAsia" w:ascii="宋体" w:hAnsi="宋体" w:eastAsia="宋体" w:cs="宋体"/>
                <w:i w:val="0"/>
                <w:iCs w:val="0"/>
                <w:color w:val="000000"/>
                <w:kern w:val="0"/>
                <w:sz w:val="21"/>
                <w:szCs w:val="22"/>
                <w:u w:val="none"/>
                <w:bdr w:val="none" w:color="auto" w:sz="0" w:space="0"/>
                <w:lang w:val="en-US" w:eastAsia="zh-CN" w:bidi="ar"/>
                <w14:ligatures w14:val="none"/>
              </w:rPr>
              <w:t>0.2707</w:t>
            </w:r>
          </w:p>
        </w:tc>
      </w:tr>
      <w:tr w14:paraId="0D940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596" w:type="dxa"/>
            <w:tcBorders>
              <w:top w:val="nil"/>
              <w:left w:val="nil"/>
              <w:bottom w:val="nil"/>
              <w:right w:val="nil"/>
            </w:tcBorders>
            <w:shd w:val="clear" w:color="auto" w:fill="FFFFFF"/>
            <w:noWrap/>
            <w:vAlign w:val="center"/>
          </w:tcPr>
          <w:p w14:paraId="47563117">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非线性二次项</w:t>
            </w:r>
          </w:p>
        </w:tc>
        <w:tc>
          <w:tcPr>
            <w:tcW w:w="1595" w:type="dxa"/>
            <w:tcBorders>
              <w:top w:val="nil"/>
              <w:left w:val="nil"/>
              <w:bottom w:val="nil"/>
              <w:right w:val="nil"/>
            </w:tcBorders>
            <w:shd w:val="clear" w:color="auto" w:fill="FFFFFF"/>
            <w:noWrap/>
            <w:vAlign w:val="center"/>
          </w:tcPr>
          <w:p w14:paraId="494BA9E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提质增效指数</w:t>
            </w:r>
          </w:p>
        </w:tc>
        <w:tc>
          <w:tcPr>
            <w:tcW w:w="1086" w:type="dxa"/>
            <w:tcBorders>
              <w:top w:val="nil"/>
              <w:left w:val="nil"/>
              <w:bottom w:val="nil"/>
              <w:right w:val="nil"/>
            </w:tcBorders>
            <w:shd w:val="clear" w:color="auto" w:fill="FFFFFF"/>
            <w:noWrap/>
            <w:vAlign w:val="center"/>
          </w:tcPr>
          <w:p w14:paraId="528F2A3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AI词频二次项</w:t>
            </w:r>
          </w:p>
        </w:tc>
        <w:tc>
          <w:tcPr>
            <w:tcW w:w="849" w:type="dxa"/>
            <w:tcBorders>
              <w:top w:val="nil"/>
              <w:left w:val="nil"/>
              <w:bottom w:val="nil"/>
              <w:right w:val="nil"/>
            </w:tcBorders>
            <w:shd w:val="clear" w:color="auto" w:fill="FFFFFF"/>
            <w:noWrap/>
            <w:vAlign w:val="center"/>
          </w:tcPr>
          <w:p w14:paraId="616755E8">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0.0141***</w:t>
            </w:r>
          </w:p>
        </w:tc>
        <w:tc>
          <w:tcPr>
            <w:tcW w:w="708" w:type="dxa"/>
            <w:tcBorders>
              <w:top w:val="nil"/>
              <w:left w:val="nil"/>
              <w:bottom w:val="nil"/>
              <w:right w:val="nil"/>
            </w:tcBorders>
            <w:shd w:val="clear" w:color="auto" w:fill="FFFFFF"/>
            <w:noWrap/>
            <w:vAlign w:val="center"/>
          </w:tcPr>
          <w:p w14:paraId="7A4B8066">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-0.0054</w:t>
            </w:r>
          </w:p>
        </w:tc>
        <w:tc>
          <w:tcPr>
            <w:tcW w:w="964" w:type="dxa"/>
            <w:tcBorders>
              <w:top w:val="nil"/>
              <w:left w:val="nil"/>
              <w:bottom w:val="nil"/>
              <w:right w:val="nil"/>
            </w:tcBorders>
            <w:shd w:val="clear" w:color="auto" w:fill="FFFFFF"/>
            <w:noWrap/>
            <w:vAlign w:val="center"/>
          </w:tcPr>
          <w:p w14:paraId="4737EE26">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2.6297</w:t>
            </w:r>
          </w:p>
        </w:tc>
        <w:tc>
          <w:tcPr>
            <w:tcW w:w="964" w:type="dxa"/>
            <w:tcBorders>
              <w:top w:val="nil"/>
              <w:left w:val="nil"/>
              <w:bottom w:val="nil"/>
              <w:right w:val="nil"/>
            </w:tcBorders>
            <w:shd w:val="clear" w:color="auto" w:fill="FFFFFF"/>
            <w:noWrap/>
            <w:vAlign w:val="center"/>
          </w:tcPr>
          <w:p w14:paraId="5B7849DD">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0.0085</w:t>
            </w:r>
          </w:p>
        </w:tc>
        <w:tc>
          <w:tcPr>
            <w:tcW w:w="964" w:type="dxa"/>
            <w:tcBorders>
              <w:top w:val="nil"/>
              <w:left w:val="nil"/>
              <w:bottom w:val="nil"/>
              <w:right w:val="nil"/>
            </w:tcBorders>
            <w:shd w:val="clear" w:color="auto" w:fill="FFFFFF"/>
            <w:noWrap/>
            <w:vAlign w:val="center"/>
          </w:tcPr>
          <w:p w14:paraId="125AE91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26869</w:t>
            </w:r>
          </w:p>
        </w:tc>
        <w:tc>
          <w:tcPr>
            <w:tcW w:w="962" w:type="dxa"/>
            <w:tcBorders>
              <w:top w:val="nil"/>
              <w:left w:val="nil"/>
              <w:bottom w:val="nil"/>
              <w:right w:val="nil"/>
            </w:tcBorders>
            <w:shd w:val="clear"/>
            <w:noWrap/>
            <w:vAlign w:val="center"/>
          </w:tcPr>
          <w:p w14:paraId="37707792">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i w:val="0"/>
                <w:iCs w:val="0"/>
                <w:color w:val="000000"/>
                <w:sz w:val="21"/>
                <w:szCs w:val="22"/>
                <w:u w:val="none"/>
              </w:rPr>
            </w:pPr>
            <w:r>
              <w:rPr>
                <w:rFonts w:hint="eastAsia" w:ascii="宋体" w:hAnsi="宋体" w:eastAsia="宋体" w:cs="宋体"/>
                <w:i w:val="0"/>
                <w:iCs w:val="0"/>
                <w:color w:val="000000"/>
                <w:kern w:val="0"/>
                <w:sz w:val="21"/>
                <w:szCs w:val="22"/>
                <w:u w:val="none"/>
                <w:bdr w:val="none" w:color="auto" w:sz="0" w:space="0"/>
                <w:lang w:val="en-US" w:eastAsia="zh-CN" w:bidi="ar"/>
                <w14:ligatures w14:val="none"/>
              </w:rPr>
              <w:t>0.2707</w:t>
            </w:r>
          </w:p>
        </w:tc>
      </w:tr>
      <w:tr w14:paraId="55D9C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single" w:color="auto" w:sz="12" w:space="0"/>
              <w:right w:val="nil"/>
            </w:tcBorders>
            <w:shd w:val="clear" w:color="auto" w:fill="FFFFFF"/>
            <w:noWrap/>
            <w:vAlign w:val="center"/>
          </w:tcPr>
          <w:p w14:paraId="1046ADB6">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cross_fitted_partial_linear</w:t>
            </w:r>
          </w:p>
        </w:tc>
        <w:tc>
          <w:tcPr>
            <w:tcW w:w="1595" w:type="dxa"/>
            <w:tcBorders>
              <w:top w:val="nil"/>
              <w:left w:val="nil"/>
              <w:bottom w:val="single" w:color="auto" w:sz="12" w:space="0"/>
              <w:right w:val="nil"/>
            </w:tcBorders>
            <w:shd w:val="clear" w:color="auto" w:fill="FFFFFF"/>
            <w:noWrap/>
            <w:vAlign w:val="center"/>
          </w:tcPr>
          <w:p w14:paraId="2E9C251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提质增效指数</w:t>
            </w:r>
          </w:p>
        </w:tc>
        <w:tc>
          <w:tcPr>
            <w:tcW w:w="1086" w:type="dxa"/>
            <w:tcBorders>
              <w:top w:val="nil"/>
              <w:left w:val="nil"/>
              <w:bottom w:val="single" w:color="auto" w:sz="12" w:space="0"/>
              <w:right w:val="nil"/>
            </w:tcBorders>
            <w:shd w:val="clear" w:color="auto" w:fill="FFFFFF"/>
            <w:noWrap/>
            <w:vAlign w:val="center"/>
          </w:tcPr>
          <w:p w14:paraId="2AE8951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年报AI词频</w:t>
            </w:r>
          </w:p>
        </w:tc>
        <w:tc>
          <w:tcPr>
            <w:tcW w:w="849" w:type="dxa"/>
            <w:tcBorders>
              <w:top w:val="nil"/>
              <w:left w:val="nil"/>
              <w:bottom w:val="single" w:color="auto" w:sz="12" w:space="0"/>
              <w:right w:val="nil"/>
            </w:tcBorders>
            <w:shd w:val="clear" w:color="auto" w:fill="FFFFFF"/>
            <w:noWrap/>
            <w:vAlign w:val="center"/>
          </w:tcPr>
          <w:p w14:paraId="6D5F6967">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0.0475***</w:t>
            </w:r>
          </w:p>
        </w:tc>
        <w:tc>
          <w:tcPr>
            <w:tcW w:w="708" w:type="dxa"/>
            <w:tcBorders>
              <w:top w:val="nil"/>
              <w:left w:val="nil"/>
              <w:bottom w:val="single" w:color="auto" w:sz="12" w:space="0"/>
              <w:right w:val="nil"/>
            </w:tcBorders>
            <w:shd w:val="clear" w:color="auto" w:fill="FFFFFF"/>
            <w:noWrap/>
            <w:vAlign w:val="center"/>
          </w:tcPr>
          <w:p w14:paraId="19242B6A">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-0.0074</w:t>
            </w:r>
          </w:p>
        </w:tc>
        <w:tc>
          <w:tcPr>
            <w:tcW w:w="964" w:type="dxa"/>
            <w:tcBorders>
              <w:top w:val="nil"/>
              <w:left w:val="nil"/>
              <w:bottom w:val="single" w:color="auto" w:sz="12" w:space="0"/>
              <w:right w:val="nil"/>
            </w:tcBorders>
            <w:shd w:val="clear" w:color="auto" w:fill="FFFFFF"/>
            <w:noWrap/>
            <w:vAlign w:val="center"/>
          </w:tcPr>
          <w:p w14:paraId="025E1D45">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6.4431</w:t>
            </w:r>
          </w:p>
        </w:tc>
        <w:tc>
          <w:tcPr>
            <w:tcW w:w="964" w:type="dxa"/>
            <w:tcBorders>
              <w:top w:val="nil"/>
              <w:left w:val="nil"/>
              <w:bottom w:val="single" w:color="auto" w:sz="12" w:space="0"/>
              <w:right w:val="nil"/>
            </w:tcBorders>
            <w:shd w:val="clear" w:color="auto" w:fill="FFFFFF"/>
            <w:noWrap/>
            <w:vAlign w:val="center"/>
          </w:tcPr>
          <w:p w14:paraId="33D7B9A1">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w:t>
            </w:r>
          </w:p>
        </w:tc>
        <w:tc>
          <w:tcPr>
            <w:tcW w:w="964" w:type="dxa"/>
            <w:tcBorders>
              <w:top w:val="nil"/>
              <w:left w:val="nil"/>
              <w:bottom w:val="single" w:color="auto" w:sz="12" w:space="0"/>
              <w:right w:val="nil"/>
            </w:tcBorders>
            <w:shd w:val="clear" w:color="auto" w:fill="FFFFFF"/>
            <w:noWrap/>
            <w:vAlign w:val="center"/>
          </w:tcPr>
          <w:p w14:paraId="4B39BB0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26869</w:t>
            </w:r>
          </w:p>
        </w:tc>
        <w:tc>
          <w:tcPr>
            <w:tcW w:w="962" w:type="dxa"/>
            <w:tcBorders>
              <w:top w:val="nil"/>
              <w:left w:val="nil"/>
              <w:bottom w:val="single" w:color="auto" w:sz="12" w:space="0"/>
              <w:right w:val="nil"/>
            </w:tcBorders>
            <w:shd w:val="clear"/>
            <w:noWrap/>
            <w:vAlign w:val="center"/>
          </w:tcPr>
          <w:p w14:paraId="1E78723F">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i w:val="0"/>
                <w:iCs w:val="0"/>
                <w:color w:val="000000"/>
                <w:sz w:val="21"/>
                <w:szCs w:val="22"/>
                <w:u w:val="none"/>
              </w:rPr>
            </w:pPr>
            <w:r>
              <w:rPr>
                <w:rFonts w:hint="eastAsia" w:ascii="宋体" w:hAnsi="宋体" w:eastAsia="宋体" w:cs="宋体"/>
                <w:i w:val="0"/>
                <w:iCs w:val="0"/>
                <w:color w:val="000000"/>
                <w:kern w:val="0"/>
                <w:sz w:val="21"/>
                <w:szCs w:val="22"/>
                <w:u w:val="none"/>
                <w:bdr w:val="none" w:color="auto" w:sz="0" w:space="0"/>
                <w:lang w:val="en-US" w:eastAsia="zh-CN" w:bidi="ar"/>
                <w14:ligatures w14:val="none"/>
              </w:rPr>
              <w:t>0.0049</w:t>
            </w:r>
          </w:p>
        </w:tc>
      </w:tr>
    </w:tbl>
    <w:p w14:paraId="6243C3D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p>
    <w:p w14:paraId="08244793">
      <w:pPr>
        <w:keepNext w:val="0"/>
        <w:keepLines w:val="0"/>
        <w:pageBreakBefore w:val="0"/>
        <w:widowControl/>
        <w:kinsoku/>
        <w:wordWrap/>
        <w:overflowPunct/>
        <w:topLinePunct w:val="0"/>
        <w:autoSpaceDE/>
        <w:autoSpaceDN/>
        <w:bidi w:val="0"/>
        <w:adjustRightInd/>
        <w:snapToGrid/>
        <w:spacing w:line="480" w:lineRule="exact"/>
        <w:textAlignment w:val="auto"/>
        <w:outlineLvl w:val="0"/>
        <w:rPr>
          <w:rFonts w:hint="eastAsia" w:ascii="宋体" w:hAnsi="宋体" w:eastAsia="宋体" w:cs="宋体"/>
          <w:b w:val="0"/>
          <w:bCs w:val="0"/>
          <w:kern w:val="2"/>
          <w:sz w:val="24"/>
          <w:szCs w:val="24"/>
          <w:lang w:val="en-US" w:eastAsia="zh-CN" w:bidi="ar-SA"/>
          <w14:ligatures w14:val="none"/>
        </w:rPr>
      </w:pPr>
      <w:r>
        <w:rPr>
          <w:rFonts w:hint="eastAsia" w:ascii="宋体" w:hAnsi="宋体" w:eastAsia="宋体" w:cs="宋体"/>
          <w:b w:val="0"/>
          <w:bCs w:val="0"/>
          <w:kern w:val="2"/>
          <w:sz w:val="24"/>
          <w:szCs w:val="24"/>
          <w:lang w:val="en-US" w:eastAsia="zh-CN" w:bidi="ar-SA"/>
          <w14:ligatures w14:val="none"/>
        </w:rPr>
        <w:t>第 7 章 研究结论与决策建议</w:t>
      </w:r>
    </w:p>
    <w:p w14:paraId="587DA2F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b w:val="0"/>
          <w:bCs w:val="0"/>
          <w:kern w:val="0"/>
          <w:sz w:val="24"/>
          <w:szCs w:val="24"/>
          <w:bdr w:val="none" w:color="auto" w:sz="0" w:space="0"/>
          <w:lang w:val="en-US" w:eastAsia="zh-CN" w:bidi="ar"/>
          <w14:ligatures w14:val="none"/>
        </w:rPr>
      </w:pPr>
      <w:r>
        <w:rPr>
          <w:rFonts w:hint="eastAsia" w:ascii="宋体" w:hAnsi="宋体" w:eastAsia="宋体" w:cs="宋体"/>
          <w:b w:val="0"/>
          <w:bCs w:val="0"/>
          <w:kern w:val="0"/>
          <w:sz w:val="24"/>
          <w:szCs w:val="24"/>
          <w:bdr w:val="none" w:color="auto" w:sz="0" w:space="0"/>
          <w:lang w:val="en-US" w:eastAsia="zh-CN" w:bidi="ar"/>
          <w14:ligatures w14:val="none"/>
        </w:rPr>
        <w:t>7.1 核心研究结论</w:t>
      </w:r>
    </w:p>
    <w:p w14:paraId="41F438C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b w:val="0"/>
          <w:bCs w:val="0"/>
          <w:kern w:val="0"/>
          <w:sz w:val="24"/>
          <w:szCs w:val="24"/>
          <w:bdr w:val="none" w:color="auto" w:sz="0" w:space="0"/>
          <w:lang w:val="en-US" w:eastAsia="zh-CN" w:bidi="ar"/>
          <w14:ligatures w14:val="none"/>
        </w:rPr>
      </w:pPr>
      <w:r>
        <w:rPr>
          <w:rFonts w:hint="eastAsia" w:ascii="宋体" w:hAnsi="宋体" w:eastAsia="宋体" w:cs="宋体"/>
          <w:b w:val="0"/>
          <w:bCs w:val="0"/>
          <w:kern w:val="0"/>
          <w:sz w:val="24"/>
          <w:szCs w:val="24"/>
          <w:bdr w:val="none" w:color="auto" w:sz="0" w:space="0"/>
          <w:lang w:val="en-US" w:eastAsia="zh-CN" w:bidi="ar"/>
          <w14:ligatures w14:val="none"/>
        </w:rPr>
        <w:t>基于 2013—2024 年 A 股制造业上市公司面板数据，本文通过固定效应模型、机制检验与异质性分析，得出以下量化结论：</w:t>
      </w:r>
    </w:p>
    <w:p w14:paraId="1398F0AF">
      <w:pPr>
        <w:keepNext w:val="0"/>
        <w:keepLines w:val="0"/>
        <w:pageBreakBefore w:val="0"/>
        <w:widowControl/>
        <w:numPr>
          <w:ilvl w:val="0"/>
          <w:numId w:val="7"/>
        </w:numPr>
        <w:kinsoku/>
        <w:wordWrap/>
        <w:overflowPunct/>
        <w:topLinePunct w:val="0"/>
        <w:autoSpaceDE/>
        <w:autoSpaceDN/>
        <w:bidi w:val="0"/>
        <w:adjustRightInd/>
        <w:snapToGrid/>
        <w:spacing w:line="480" w:lineRule="exact"/>
        <w:ind w:left="0" w:leftChars="0" w:firstLine="0" w:firstLineChars="0"/>
        <w:textAlignment w:val="auto"/>
        <w:rPr>
          <w:rFonts w:hint="eastAsia" w:ascii="宋体" w:hAnsi="宋体" w:eastAsia="宋体" w:cs="宋体"/>
          <w:b w:val="0"/>
          <w:bCs w:val="0"/>
          <w:kern w:val="2"/>
          <w:sz w:val="24"/>
          <w:szCs w:val="24"/>
          <w:lang w:val="en-US" w:eastAsia="zh-CN" w:bidi="ar-SA"/>
          <w14:ligatures w14:val="none"/>
        </w:rPr>
      </w:pPr>
      <w:r>
        <w:rPr>
          <w:rFonts w:hint="eastAsia" w:ascii="宋体" w:hAnsi="宋体" w:eastAsia="宋体" w:cs="宋体"/>
          <w:b w:val="0"/>
          <w:bCs w:val="0"/>
          <w:kern w:val="0"/>
          <w:sz w:val="24"/>
          <w:szCs w:val="24"/>
          <w:bdr w:val="none" w:color="auto" w:sz="0" w:space="0"/>
          <w:lang w:val="en-US" w:eastAsia="zh-CN" w:bidi="ar"/>
          <w14:ligatures w14:val="none"/>
        </w:rPr>
        <w:t>基准效应：</w:t>
      </w:r>
      <w:r>
        <w:rPr>
          <w:rFonts w:hint="eastAsia" w:ascii="宋体" w:hAnsi="宋体" w:eastAsia="宋体" w:cs="宋体"/>
          <w:b w:val="0"/>
          <w:bCs w:val="0"/>
          <w:kern w:val="2"/>
          <w:sz w:val="24"/>
          <w:szCs w:val="24"/>
          <w:lang w:val="en-US" w:eastAsia="zh-CN" w:bidi="ar-SA"/>
          <w14:ligatures w14:val="none"/>
        </w:rPr>
        <w:t>AI 关注度与企业提质增效呈显著正相关。基准回归显示，AI 关注度每提升 1 个单位，企业提质增效指数显著提升 0.049 个单位（p&lt;0.001），模型调整后 R² 为 0.270，样本量 26869 个；替换 MD&amp;A AI 词频、综合 AI 应用指数后，系数分别为 0.050、0.089（均 p&lt;0.001），结论稳健。</w:t>
      </w:r>
    </w:p>
    <w:p w14:paraId="2DFDD4CA">
      <w:pPr>
        <w:keepNext w:val="0"/>
        <w:keepLines w:val="0"/>
        <w:pageBreakBefore w:val="0"/>
        <w:widowControl/>
        <w:numPr>
          <w:ilvl w:val="0"/>
          <w:numId w:val="7"/>
        </w:numPr>
        <w:kinsoku/>
        <w:wordWrap/>
        <w:overflowPunct/>
        <w:topLinePunct w:val="0"/>
        <w:autoSpaceDE/>
        <w:autoSpaceDN/>
        <w:bidi w:val="0"/>
        <w:adjustRightInd/>
        <w:snapToGrid/>
        <w:spacing w:line="480" w:lineRule="exact"/>
        <w:ind w:left="0" w:leftChars="0" w:firstLine="0" w:firstLineChars="0"/>
        <w:textAlignment w:val="auto"/>
        <w:rPr>
          <w:rFonts w:hint="eastAsia" w:ascii="宋体" w:hAnsi="宋体" w:eastAsia="宋体" w:cs="宋体"/>
          <w:b w:val="0"/>
          <w:bCs w:val="0"/>
          <w:kern w:val="2"/>
          <w:sz w:val="24"/>
          <w:szCs w:val="24"/>
          <w:lang w:val="en-US" w:eastAsia="zh-CN" w:bidi="ar-SA"/>
          <w14:ligatures w14:val="none"/>
        </w:rPr>
      </w:pPr>
      <w:r>
        <w:rPr>
          <w:rFonts w:hint="eastAsia" w:ascii="宋体" w:hAnsi="宋体" w:eastAsia="宋体" w:cs="宋体"/>
          <w:b w:val="0"/>
          <w:bCs w:val="0"/>
          <w:kern w:val="0"/>
          <w:sz w:val="24"/>
          <w:szCs w:val="24"/>
          <w:bdr w:val="none" w:color="auto" w:sz="0" w:space="0"/>
          <w:lang w:val="en-US" w:eastAsia="zh-CN" w:bidi="ar"/>
          <w14:ligatures w14:val="none"/>
        </w:rPr>
        <w:t>异质性特征：</w:t>
      </w:r>
      <w:r>
        <w:rPr>
          <w:rFonts w:hint="eastAsia" w:ascii="宋体" w:hAnsi="宋体" w:eastAsia="宋体" w:cs="宋体"/>
          <w:b w:val="0"/>
          <w:bCs w:val="0"/>
          <w:kern w:val="2"/>
          <w:sz w:val="24"/>
          <w:szCs w:val="24"/>
          <w:lang w:val="en-US" w:eastAsia="zh-CN" w:bidi="ar-SA"/>
          <w14:ligatures w14:val="none"/>
        </w:rPr>
        <w:t>高技术制造业企业效应最显著（系数 0.075，p&lt;0.001），传统制造业企业效应不显著（系数 0.017，p&gt;0.1）；国有企业系数 0.063（p&lt;0.01），非国有企业系数 0.043（p&lt;0.001）；东部地区企业系数 0.047（p&lt;0.001），非东部地区系数 0.034（p&lt;0.05）；高转化效率与低转化效率企业系数分别为 0.049、0.047（均 p&lt;0.001），差异不显著。</w:t>
      </w:r>
    </w:p>
    <w:p w14:paraId="14C150D2">
      <w:pPr>
        <w:keepNext w:val="0"/>
        <w:keepLines w:val="0"/>
        <w:pageBreakBefore w:val="0"/>
        <w:widowControl/>
        <w:numPr>
          <w:ilvl w:val="0"/>
          <w:numId w:val="7"/>
        </w:numPr>
        <w:kinsoku/>
        <w:wordWrap/>
        <w:overflowPunct/>
        <w:topLinePunct w:val="0"/>
        <w:autoSpaceDE/>
        <w:autoSpaceDN/>
        <w:bidi w:val="0"/>
        <w:adjustRightInd/>
        <w:snapToGrid/>
        <w:spacing w:line="480" w:lineRule="exact"/>
        <w:ind w:left="0" w:leftChars="0" w:firstLine="0" w:firstLineChars="0"/>
        <w:textAlignment w:val="auto"/>
        <w:rPr>
          <w:rFonts w:hint="eastAsia" w:ascii="宋体" w:hAnsi="宋体" w:eastAsia="宋体" w:cs="宋体"/>
          <w:b w:val="0"/>
          <w:bCs w:val="0"/>
          <w:kern w:val="2"/>
          <w:sz w:val="24"/>
          <w:szCs w:val="24"/>
          <w:lang w:val="en-US" w:eastAsia="zh-CN" w:bidi="ar-SA"/>
          <w14:ligatures w14:val="none"/>
        </w:rPr>
      </w:pPr>
      <w:r>
        <w:rPr>
          <w:rFonts w:hint="eastAsia" w:ascii="宋体" w:hAnsi="宋体" w:eastAsia="宋体" w:cs="宋体"/>
          <w:b w:val="0"/>
          <w:bCs w:val="0"/>
          <w:kern w:val="0"/>
          <w:sz w:val="24"/>
          <w:szCs w:val="24"/>
          <w:bdr w:val="none" w:color="auto" w:sz="0" w:space="0"/>
          <w:lang w:val="en-US" w:eastAsia="zh-CN" w:bidi="ar"/>
          <w14:ligatures w14:val="none"/>
        </w:rPr>
        <w:t>传导机制：</w:t>
      </w:r>
      <w:r>
        <w:rPr>
          <w:rFonts w:hint="eastAsia" w:ascii="宋体" w:hAnsi="宋体" w:eastAsia="宋体" w:cs="宋体"/>
          <w:b w:val="0"/>
          <w:bCs w:val="0"/>
          <w:kern w:val="2"/>
          <w:sz w:val="24"/>
          <w:szCs w:val="24"/>
          <w:lang w:val="en-US" w:eastAsia="zh-CN" w:bidi="ar-SA"/>
          <w14:ligatures w14:val="none"/>
        </w:rPr>
        <w:t>AI 关注度通过三条路径显著赋能提质增效：实际 AI 应用路径（系数 0.109，p&lt;0.001）、资产周转率路径（系数 0.023，p&lt;0.001）、TFP 路径（系数 0.087，p&lt;0.001）；劳动生产率路径系数 0.007（p&gt;0.1），未通过显著性检验。</w:t>
      </w:r>
    </w:p>
    <w:p w14:paraId="49662D65">
      <w:pPr>
        <w:keepNext w:val="0"/>
        <w:keepLines w:val="0"/>
        <w:pageBreakBefore w:val="0"/>
        <w:widowControl/>
        <w:numPr>
          <w:ilvl w:val="0"/>
          <w:numId w:val="7"/>
        </w:numPr>
        <w:kinsoku/>
        <w:wordWrap/>
        <w:overflowPunct/>
        <w:topLinePunct w:val="0"/>
        <w:autoSpaceDE/>
        <w:autoSpaceDN/>
        <w:bidi w:val="0"/>
        <w:adjustRightInd/>
        <w:snapToGrid/>
        <w:spacing w:line="480" w:lineRule="exact"/>
        <w:ind w:left="0" w:leftChars="0" w:firstLine="0" w:firstLineChars="0"/>
        <w:textAlignment w:val="auto"/>
        <w:rPr>
          <w:rFonts w:hint="eastAsia" w:ascii="宋体" w:hAnsi="宋体" w:eastAsia="宋体" w:cs="宋体"/>
          <w:b w:val="0"/>
          <w:bCs w:val="0"/>
          <w:kern w:val="2"/>
          <w:sz w:val="24"/>
          <w:szCs w:val="24"/>
          <w:lang w:val="en-US" w:eastAsia="zh-CN" w:bidi="ar-SA"/>
          <w14:ligatures w14:val="none"/>
        </w:rPr>
      </w:pPr>
      <w:r>
        <w:rPr>
          <w:rFonts w:hint="eastAsia" w:ascii="宋体" w:hAnsi="宋体" w:eastAsia="宋体" w:cs="宋体"/>
          <w:b w:val="0"/>
          <w:bCs w:val="0"/>
          <w:kern w:val="0"/>
          <w:sz w:val="24"/>
          <w:szCs w:val="24"/>
          <w:bdr w:val="none" w:color="auto" w:sz="0" w:space="0"/>
          <w:lang w:val="en-US" w:eastAsia="zh-CN" w:bidi="ar"/>
          <w14:ligatures w14:val="none"/>
        </w:rPr>
        <w:t>分位数效应：</w:t>
      </w:r>
      <w:r>
        <w:rPr>
          <w:rFonts w:hint="eastAsia" w:ascii="宋体" w:hAnsi="宋体" w:eastAsia="宋体" w:cs="宋体"/>
          <w:b w:val="0"/>
          <w:bCs w:val="0"/>
          <w:kern w:val="2"/>
          <w:sz w:val="24"/>
          <w:szCs w:val="24"/>
          <w:lang w:val="en-US" w:eastAsia="zh-CN" w:bidi="ar-SA"/>
          <w14:ligatures w14:val="none"/>
        </w:rPr>
        <w:t>AI 对低提质增效企业的改善作用更强，0.25 分位数系数 0.047（p&lt;0.001），0.75 分位数系数 0.038（p&lt;0.001），呈边际递减特征；非线性检验显示二次项系数 0.014（p&lt;0.01），但未形成显著倒 U 型关系。</w:t>
      </w:r>
    </w:p>
    <w:p w14:paraId="5A539AA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b w:val="0"/>
          <w:bCs w:val="0"/>
          <w:kern w:val="0"/>
          <w:sz w:val="24"/>
          <w:szCs w:val="24"/>
          <w:bdr w:val="none" w:color="auto" w:sz="0" w:space="0"/>
          <w:lang w:val="en-US" w:eastAsia="zh-CN" w:bidi="ar"/>
          <w14:ligatures w14:val="none"/>
        </w:rPr>
      </w:pPr>
      <w:r>
        <w:rPr>
          <w:rFonts w:hint="eastAsia" w:ascii="宋体" w:hAnsi="宋体" w:eastAsia="宋体" w:cs="宋体"/>
          <w:b w:val="0"/>
          <w:bCs w:val="0"/>
          <w:kern w:val="0"/>
          <w:sz w:val="24"/>
          <w:szCs w:val="24"/>
          <w:bdr w:val="none" w:color="auto" w:sz="0" w:space="0"/>
          <w:lang w:val="en-US" w:eastAsia="zh-CN" w:bidi="ar"/>
          <w14:ligatures w14:val="none"/>
        </w:rPr>
        <w:t>7.2 差异化决策建议</w:t>
      </w:r>
    </w:p>
    <w:p w14:paraId="409CA6C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jc w:val="left"/>
        <w:textAlignment w:val="auto"/>
        <w:rPr>
          <w:rFonts w:hint="eastAsia" w:ascii="宋体" w:hAnsi="宋体" w:eastAsia="宋体" w:cs="宋体"/>
          <w:b w:val="0"/>
          <w:bCs w:val="0"/>
          <w:kern w:val="0"/>
          <w:sz w:val="24"/>
          <w:szCs w:val="24"/>
          <w:bdr w:val="none" w:color="auto" w:sz="0" w:space="0"/>
          <w:lang w:val="en-US" w:eastAsia="zh-CN" w:bidi="ar"/>
          <w14:ligatures w14:val="none"/>
        </w:rPr>
      </w:pPr>
      <w:r>
        <w:rPr>
          <w:rFonts w:hint="eastAsia" w:ascii="宋体" w:hAnsi="宋体" w:eastAsia="宋体" w:cs="宋体"/>
          <w:b w:val="0"/>
          <w:bCs w:val="0"/>
          <w:kern w:val="0"/>
          <w:sz w:val="24"/>
          <w:szCs w:val="24"/>
          <w:bdr w:val="none" w:color="auto" w:sz="0" w:space="0"/>
          <w:lang w:val="en-US" w:eastAsia="zh-CN" w:bidi="ar"/>
          <w14:ligatures w14:val="none"/>
        </w:rPr>
        <w:t>企业主体</w:t>
      </w:r>
    </w:p>
    <w:p w14:paraId="78EEB53E">
      <w:pPr>
        <w:keepNext w:val="0"/>
        <w:keepLines w:val="0"/>
        <w:pageBreakBefore w:val="0"/>
        <w:widowControl/>
        <w:numPr>
          <w:ilvl w:val="0"/>
          <w:numId w:val="8"/>
        </w:numPr>
        <w:kinsoku/>
        <w:wordWrap/>
        <w:overflowPunct/>
        <w:topLinePunct w:val="0"/>
        <w:autoSpaceDE/>
        <w:autoSpaceDN/>
        <w:bidi w:val="0"/>
        <w:adjustRightInd/>
        <w:snapToGrid/>
        <w:spacing w:line="480" w:lineRule="exact"/>
        <w:ind w:left="0" w:leftChars="0" w:firstLine="0" w:firstLineChars="0"/>
        <w:textAlignment w:val="auto"/>
        <w:rPr>
          <w:rFonts w:hint="eastAsia" w:ascii="宋体" w:hAnsi="宋体" w:eastAsia="宋体" w:cs="宋体"/>
          <w:b w:val="0"/>
          <w:bCs w:val="0"/>
          <w:kern w:val="2"/>
          <w:sz w:val="24"/>
          <w:szCs w:val="24"/>
          <w:lang w:val="en-US" w:eastAsia="zh-CN" w:bidi="ar-SA"/>
          <w14:ligatures w14:val="none"/>
        </w:rPr>
      </w:pPr>
      <w:r>
        <w:rPr>
          <w:rFonts w:hint="eastAsia" w:ascii="宋体" w:hAnsi="宋体" w:eastAsia="宋体" w:cs="宋体"/>
          <w:b w:val="0"/>
          <w:bCs w:val="0"/>
          <w:kern w:val="0"/>
          <w:sz w:val="24"/>
          <w:szCs w:val="24"/>
          <w:bdr w:val="none" w:color="auto" w:sz="0" w:space="0"/>
          <w:lang w:val="en-US" w:eastAsia="zh-CN" w:bidi="ar"/>
          <w14:ligatures w14:val="none"/>
        </w:rPr>
        <w:t>高技术制造业企业：</w:t>
      </w:r>
      <w:r>
        <w:rPr>
          <w:rFonts w:hint="eastAsia" w:ascii="宋体" w:hAnsi="宋体" w:eastAsia="宋体" w:cs="宋体"/>
          <w:b w:val="0"/>
          <w:bCs w:val="0"/>
          <w:kern w:val="2"/>
          <w:sz w:val="24"/>
          <w:szCs w:val="24"/>
          <w:lang w:val="en-US" w:eastAsia="zh-CN" w:bidi="ar-SA"/>
          <w14:ligatures w14:val="none"/>
        </w:rPr>
        <w:t>将 AI 投资占研发投入比例提升至 20% 以上，重点布局生产流程智能化改造，优先提升资产周转效率与全要素生产率。</w:t>
      </w:r>
    </w:p>
    <w:p w14:paraId="37494998">
      <w:pPr>
        <w:keepNext w:val="0"/>
        <w:keepLines w:val="0"/>
        <w:pageBreakBefore w:val="0"/>
        <w:widowControl/>
        <w:numPr>
          <w:ilvl w:val="0"/>
          <w:numId w:val="8"/>
        </w:numPr>
        <w:kinsoku/>
        <w:wordWrap/>
        <w:overflowPunct/>
        <w:topLinePunct w:val="0"/>
        <w:autoSpaceDE/>
        <w:autoSpaceDN/>
        <w:bidi w:val="0"/>
        <w:adjustRightInd/>
        <w:snapToGrid/>
        <w:spacing w:line="480" w:lineRule="exact"/>
        <w:ind w:left="0" w:leftChars="0" w:firstLine="0" w:firstLineChars="0"/>
        <w:textAlignment w:val="auto"/>
        <w:rPr>
          <w:rFonts w:hint="eastAsia" w:ascii="宋体" w:hAnsi="宋体" w:eastAsia="宋体" w:cs="宋体"/>
          <w:b w:val="0"/>
          <w:bCs w:val="0"/>
          <w:kern w:val="2"/>
          <w:sz w:val="24"/>
          <w:szCs w:val="24"/>
          <w:lang w:val="en-US" w:eastAsia="zh-CN" w:bidi="ar-SA"/>
          <w14:ligatures w14:val="none"/>
        </w:rPr>
      </w:pPr>
      <w:r>
        <w:rPr>
          <w:rFonts w:hint="eastAsia" w:ascii="宋体" w:hAnsi="宋体" w:eastAsia="宋体" w:cs="宋体"/>
          <w:b w:val="0"/>
          <w:bCs w:val="0"/>
          <w:kern w:val="0"/>
          <w:sz w:val="24"/>
          <w:szCs w:val="24"/>
          <w:bdr w:val="none" w:color="auto" w:sz="0" w:space="0"/>
          <w:lang w:val="en-US" w:eastAsia="zh-CN" w:bidi="ar"/>
          <w14:ligatures w14:val="none"/>
        </w:rPr>
        <w:t>传统制造业企业：</w:t>
      </w:r>
      <w:r>
        <w:rPr>
          <w:rFonts w:hint="eastAsia" w:ascii="宋体" w:hAnsi="宋体" w:eastAsia="宋体" w:cs="宋体"/>
          <w:b w:val="0"/>
          <w:bCs w:val="0"/>
          <w:kern w:val="2"/>
          <w:sz w:val="24"/>
          <w:szCs w:val="24"/>
          <w:lang w:val="en-US" w:eastAsia="zh-CN" w:bidi="ar-SA"/>
          <w14:ligatures w14:val="none"/>
        </w:rPr>
        <w:t>避免盲目跟风 AI 概念披露，先完成基础数字化建设，将 AI 投入聚焦于供应链管理、质量检测等易落地场景，目标 3 年内实现 AI 应用对提质增效的显著拉动。</w:t>
      </w:r>
    </w:p>
    <w:p w14:paraId="23991D4B">
      <w:pPr>
        <w:keepNext w:val="0"/>
        <w:keepLines w:val="0"/>
        <w:pageBreakBefore w:val="0"/>
        <w:widowControl/>
        <w:numPr>
          <w:ilvl w:val="0"/>
          <w:numId w:val="8"/>
        </w:numPr>
        <w:kinsoku/>
        <w:wordWrap/>
        <w:overflowPunct/>
        <w:topLinePunct w:val="0"/>
        <w:autoSpaceDE/>
        <w:autoSpaceDN/>
        <w:bidi w:val="0"/>
        <w:adjustRightInd/>
        <w:snapToGrid/>
        <w:spacing w:line="480" w:lineRule="exact"/>
        <w:ind w:left="0" w:leftChars="0" w:firstLine="0" w:firstLineChars="0"/>
        <w:textAlignment w:val="auto"/>
        <w:rPr>
          <w:rFonts w:hint="eastAsia" w:ascii="宋体" w:hAnsi="宋体" w:eastAsia="宋体" w:cs="宋体"/>
          <w:b w:val="0"/>
          <w:bCs w:val="0"/>
          <w:kern w:val="2"/>
          <w:sz w:val="24"/>
          <w:szCs w:val="24"/>
          <w:lang w:val="en-US" w:eastAsia="zh-CN" w:bidi="ar-SA"/>
          <w14:ligatures w14:val="none"/>
        </w:rPr>
      </w:pPr>
      <w:r>
        <w:rPr>
          <w:rFonts w:hint="eastAsia" w:ascii="宋体" w:hAnsi="宋体" w:eastAsia="宋体" w:cs="宋体"/>
          <w:b w:val="0"/>
          <w:bCs w:val="0"/>
          <w:kern w:val="0"/>
          <w:sz w:val="24"/>
          <w:szCs w:val="24"/>
          <w:bdr w:val="none" w:color="auto" w:sz="0" w:space="0"/>
          <w:lang w:val="en-US" w:eastAsia="zh-CN" w:bidi="ar"/>
          <w14:ligatures w14:val="none"/>
        </w:rPr>
        <w:t>低转化效率企业：</w:t>
      </w:r>
      <w:r>
        <w:rPr>
          <w:rFonts w:hint="eastAsia" w:ascii="宋体" w:hAnsi="宋体" w:eastAsia="宋体" w:cs="宋体"/>
          <w:b w:val="0"/>
          <w:bCs w:val="0"/>
          <w:kern w:val="2"/>
          <w:sz w:val="24"/>
          <w:szCs w:val="24"/>
          <w:lang w:val="en-US" w:eastAsia="zh-CN" w:bidi="ar-SA"/>
          <w14:ligatures w14:val="none"/>
        </w:rPr>
        <w:t>建立 AI 项目落地考核机制，将 AI 文本披露占比控制在年报总字数的 0.5% 以内，将实际 AI 应用效果纳入管理层绩效考核。</w:t>
      </w:r>
    </w:p>
    <w:p w14:paraId="432563A8">
      <w:pPr>
        <w:keepNext w:val="0"/>
        <w:keepLines w:val="0"/>
        <w:pageBreakBefore w:val="0"/>
        <w:widowControl/>
        <w:numPr>
          <w:ilvl w:val="0"/>
          <w:numId w:val="8"/>
        </w:numPr>
        <w:kinsoku/>
        <w:wordWrap/>
        <w:overflowPunct/>
        <w:topLinePunct w:val="0"/>
        <w:autoSpaceDE/>
        <w:autoSpaceDN/>
        <w:bidi w:val="0"/>
        <w:adjustRightInd/>
        <w:snapToGrid/>
        <w:spacing w:line="480" w:lineRule="exact"/>
        <w:ind w:left="0" w:leftChars="0" w:firstLine="0" w:firstLineChars="0"/>
        <w:textAlignment w:val="auto"/>
        <w:rPr>
          <w:rFonts w:hint="eastAsia" w:ascii="宋体" w:hAnsi="宋体" w:eastAsia="宋体" w:cs="宋体"/>
          <w:b w:val="0"/>
          <w:bCs w:val="0"/>
          <w:kern w:val="2"/>
          <w:sz w:val="24"/>
          <w:szCs w:val="24"/>
          <w:lang w:val="en-US" w:eastAsia="zh-CN" w:bidi="ar-SA"/>
          <w14:ligatures w14:val="none"/>
        </w:rPr>
      </w:pPr>
      <w:r>
        <w:rPr>
          <w:rFonts w:hint="eastAsia" w:ascii="宋体" w:hAnsi="宋体" w:eastAsia="宋体" w:cs="宋体"/>
          <w:b w:val="0"/>
          <w:bCs w:val="0"/>
          <w:kern w:val="2"/>
          <w:sz w:val="24"/>
          <w:szCs w:val="24"/>
          <w:lang w:val="en-US" w:eastAsia="zh-CN" w:bidi="ar-SA"/>
          <w14:ligatures w14:val="none"/>
        </w:rPr>
        <w:t>政府主体</w:t>
      </w:r>
    </w:p>
    <w:p w14:paraId="337797A6">
      <w:pPr>
        <w:keepNext w:val="0"/>
        <w:keepLines w:val="0"/>
        <w:pageBreakBefore w:val="0"/>
        <w:widowControl/>
        <w:numPr>
          <w:ilvl w:val="0"/>
          <w:numId w:val="8"/>
        </w:numPr>
        <w:kinsoku/>
        <w:wordWrap/>
        <w:overflowPunct/>
        <w:topLinePunct w:val="0"/>
        <w:autoSpaceDE/>
        <w:autoSpaceDN/>
        <w:bidi w:val="0"/>
        <w:adjustRightInd/>
        <w:snapToGrid/>
        <w:spacing w:line="480" w:lineRule="exact"/>
        <w:ind w:left="0" w:leftChars="0" w:firstLine="0" w:firstLineChars="0"/>
        <w:textAlignment w:val="auto"/>
        <w:rPr>
          <w:rFonts w:hint="eastAsia" w:ascii="宋体" w:hAnsi="宋体" w:eastAsia="宋体" w:cs="宋体"/>
          <w:b w:val="0"/>
          <w:bCs w:val="0"/>
          <w:kern w:val="2"/>
          <w:sz w:val="24"/>
          <w:szCs w:val="24"/>
          <w:lang w:val="en-US" w:eastAsia="zh-CN" w:bidi="ar-SA"/>
          <w14:ligatures w14:val="none"/>
        </w:rPr>
      </w:pPr>
      <w:r>
        <w:rPr>
          <w:rFonts w:hint="eastAsia" w:ascii="宋体" w:hAnsi="宋体" w:eastAsia="宋体" w:cs="宋体"/>
          <w:b w:val="0"/>
          <w:bCs w:val="0"/>
          <w:kern w:val="2"/>
          <w:sz w:val="24"/>
          <w:szCs w:val="24"/>
          <w:lang w:val="en-US" w:eastAsia="zh-CN" w:bidi="ar-SA"/>
          <w14:ligatures w14:val="none"/>
        </w:rPr>
        <w:t>完善 AI 应用评价体系，出台制造业 AI 落地指引，明确可量化的 AI 应用成效指标，引导企业从 “概念披露” 转向 “实际落地”。</w:t>
      </w:r>
    </w:p>
    <w:p w14:paraId="68809F61">
      <w:pPr>
        <w:keepNext w:val="0"/>
        <w:keepLines w:val="0"/>
        <w:pageBreakBefore w:val="0"/>
        <w:widowControl/>
        <w:numPr>
          <w:ilvl w:val="0"/>
          <w:numId w:val="8"/>
        </w:numPr>
        <w:kinsoku/>
        <w:wordWrap/>
        <w:overflowPunct/>
        <w:topLinePunct w:val="0"/>
        <w:autoSpaceDE/>
        <w:autoSpaceDN/>
        <w:bidi w:val="0"/>
        <w:adjustRightInd/>
        <w:snapToGrid/>
        <w:spacing w:line="480" w:lineRule="exact"/>
        <w:ind w:left="0" w:leftChars="0" w:firstLine="0" w:firstLineChars="0"/>
        <w:textAlignment w:val="auto"/>
        <w:rPr>
          <w:rFonts w:hint="eastAsia" w:ascii="宋体" w:hAnsi="宋体" w:eastAsia="宋体" w:cs="宋体"/>
          <w:b w:val="0"/>
          <w:bCs w:val="0"/>
          <w:kern w:val="2"/>
          <w:sz w:val="24"/>
          <w:szCs w:val="24"/>
          <w:lang w:val="en-US" w:eastAsia="zh-CN" w:bidi="ar-SA"/>
          <w14:ligatures w14:val="none"/>
        </w:rPr>
      </w:pPr>
      <w:r>
        <w:rPr>
          <w:rFonts w:hint="eastAsia" w:ascii="宋体" w:hAnsi="宋体" w:eastAsia="宋体" w:cs="宋体"/>
          <w:b w:val="0"/>
          <w:bCs w:val="0"/>
          <w:kern w:val="2"/>
          <w:sz w:val="24"/>
          <w:szCs w:val="24"/>
          <w:lang w:val="en-US" w:eastAsia="zh-CN" w:bidi="ar-SA"/>
          <w14:ligatures w14:val="none"/>
        </w:rPr>
        <w:t>设立中西部地区 AI 转型专项基金，对非东部地区制造业企业给予最高 30% 的 AI 设备购置补贴，缩小区域数字化差距。</w:t>
      </w:r>
    </w:p>
    <w:p w14:paraId="538F6769">
      <w:pPr>
        <w:keepNext w:val="0"/>
        <w:keepLines w:val="0"/>
        <w:pageBreakBefore w:val="0"/>
        <w:widowControl/>
        <w:numPr>
          <w:ilvl w:val="0"/>
          <w:numId w:val="8"/>
        </w:numPr>
        <w:kinsoku/>
        <w:wordWrap/>
        <w:overflowPunct/>
        <w:topLinePunct w:val="0"/>
        <w:autoSpaceDE/>
        <w:autoSpaceDN/>
        <w:bidi w:val="0"/>
        <w:adjustRightInd/>
        <w:snapToGrid/>
        <w:spacing w:line="480" w:lineRule="exact"/>
        <w:ind w:left="0" w:leftChars="0" w:firstLine="0" w:firstLineChars="0"/>
        <w:textAlignment w:val="auto"/>
        <w:rPr>
          <w:rFonts w:hint="eastAsia" w:ascii="宋体" w:hAnsi="宋体" w:eastAsia="宋体" w:cs="宋体"/>
          <w:b w:val="0"/>
          <w:bCs w:val="0"/>
          <w:kern w:val="2"/>
          <w:sz w:val="24"/>
          <w:szCs w:val="24"/>
          <w:lang w:val="en-US" w:eastAsia="zh-CN" w:bidi="ar-SA"/>
          <w14:ligatures w14:val="none"/>
        </w:rPr>
      </w:pPr>
      <w:r>
        <w:rPr>
          <w:rFonts w:hint="eastAsia" w:ascii="宋体" w:hAnsi="宋体" w:eastAsia="宋体" w:cs="宋体"/>
          <w:b w:val="0"/>
          <w:bCs w:val="0"/>
          <w:kern w:val="2"/>
          <w:sz w:val="24"/>
          <w:szCs w:val="24"/>
          <w:lang w:val="en-US" w:eastAsia="zh-CN" w:bidi="ar-SA"/>
          <w14:ligatures w14:val="none"/>
        </w:rPr>
        <w:t>搭建行业 AI 数据共享平台，推动传统制造业企业与科技企业合作，降低中小企业 AI 应用门槛。</w:t>
      </w:r>
    </w:p>
    <w:p w14:paraId="03A034D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b w:val="0"/>
          <w:bCs w:val="0"/>
          <w:kern w:val="0"/>
          <w:sz w:val="24"/>
          <w:szCs w:val="24"/>
          <w:bdr w:val="none" w:color="auto" w:sz="0" w:space="0"/>
          <w:lang w:val="en-US" w:eastAsia="zh-CN" w:bidi="ar"/>
          <w14:ligatures w14:val="none"/>
        </w:rPr>
      </w:pPr>
      <w:r>
        <w:rPr>
          <w:rFonts w:hint="eastAsia" w:ascii="宋体" w:hAnsi="宋体" w:eastAsia="宋体" w:cs="宋体"/>
          <w:b w:val="0"/>
          <w:bCs w:val="0"/>
          <w:kern w:val="0"/>
          <w:sz w:val="24"/>
          <w:szCs w:val="24"/>
          <w:bdr w:val="none" w:color="auto" w:sz="0" w:space="0"/>
          <w:lang w:val="en-US" w:eastAsia="zh-CN" w:bidi="ar"/>
          <w14:ligatures w14:val="none"/>
        </w:rPr>
        <w:t>7.3 研究成果的应用场景</w:t>
      </w:r>
    </w:p>
    <w:p w14:paraId="5A8EB35F">
      <w:pPr>
        <w:keepNext w:val="0"/>
        <w:keepLines w:val="0"/>
        <w:pageBreakBefore w:val="0"/>
        <w:widowControl/>
        <w:numPr>
          <w:ilvl w:val="0"/>
          <w:numId w:val="9"/>
        </w:numPr>
        <w:kinsoku/>
        <w:wordWrap/>
        <w:overflowPunct/>
        <w:topLinePunct w:val="0"/>
        <w:autoSpaceDE/>
        <w:autoSpaceDN/>
        <w:bidi w:val="0"/>
        <w:adjustRightInd/>
        <w:snapToGrid/>
        <w:spacing w:line="480" w:lineRule="exact"/>
        <w:ind w:left="0" w:leftChars="0" w:firstLine="0" w:firstLineChars="0"/>
        <w:textAlignment w:val="auto"/>
        <w:rPr>
          <w:rFonts w:hint="eastAsia" w:ascii="宋体" w:hAnsi="宋体" w:eastAsia="宋体" w:cs="宋体"/>
          <w:b w:val="0"/>
          <w:bCs w:val="0"/>
          <w:kern w:val="2"/>
          <w:sz w:val="24"/>
          <w:szCs w:val="24"/>
          <w:lang w:val="en-US" w:eastAsia="zh-CN" w:bidi="ar-SA"/>
          <w14:ligatures w14:val="none"/>
        </w:rPr>
      </w:pPr>
      <w:r>
        <w:rPr>
          <w:rFonts w:hint="eastAsia" w:ascii="宋体" w:hAnsi="宋体" w:eastAsia="宋体" w:cs="宋体"/>
          <w:b w:val="0"/>
          <w:bCs w:val="0"/>
          <w:kern w:val="0"/>
          <w:sz w:val="24"/>
          <w:szCs w:val="24"/>
          <w:bdr w:val="none" w:color="auto" w:sz="0" w:space="0"/>
          <w:lang w:val="en-US" w:eastAsia="zh-CN" w:bidi="ar"/>
          <w14:ligatures w14:val="none"/>
        </w:rPr>
        <w:t>企业数字化转型评估：</w:t>
      </w:r>
      <w:r>
        <w:rPr>
          <w:rFonts w:hint="eastAsia" w:ascii="宋体" w:hAnsi="宋体" w:eastAsia="宋体" w:cs="宋体"/>
          <w:b w:val="0"/>
          <w:bCs w:val="0"/>
          <w:kern w:val="2"/>
          <w:sz w:val="24"/>
          <w:szCs w:val="24"/>
          <w:lang w:val="en-US" w:eastAsia="zh-CN" w:bidi="ar-SA"/>
          <w14:ligatures w14:val="none"/>
        </w:rPr>
        <w:t>基于本文的变量合成与回归模型，开发企业数字化转型效果评估工具，输入年报文本与财务数据即可生成提质增效潜力评分。</w:t>
      </w:r>
    </w:p>
    <w:p w14:paraId="012F3C34">
      <w:pPr>
        <w:keepNext w:val="0"/>
        <w:keepLines w:val="0"/>
        <w:pageBreakBefore w:val="0"/>
        <w:widowControl/>
        <w:numPr>
          <w:ilvl w:val="0"/>
          <w:numId w:val="9"/>
        </w:numPr>
        <w:kinsoku/>
        <w:wordWrap/>
        <w:overflowPunct/>
        <w:topLinePunct w:val="0"/>
        <w:autoSpaceDE/>
        <w:autoSpaceDN/>
        <w:bidi w:val="0"/>
        <w:adjustRightInd/>
        <w:snapToGrid/>
        <w:spacing w:line="480" w:lineRule="exact"/>
        <w:ind w:left="0" w:leftChars="0" w:firstLine="0" w:firstLineChars="0"/>
        <w:textAlignment w:val="auto"/>
        <w:rPr>
          <w:rFonts w:hint="eastAsia" w:ascii="宋体" w:hAnsi="宋体" w:eastAsia="宋体" w:cs="宋体"/>
          <w:b w:val="0"/>
          <w:bCs w:val="0"/>
          <w:kern w:val="2"/>
          <w:sz w:val="24"/>
          <w:szCs w:val="24"/>
          <w:lang w:val="en-US" w:eastAsia="zh-CN" w:bidi="ar-SA"/>
          <w14:ligatures w14:val="none"/>
        </w:rPr>
      </w:pPr>
      <w:r>
        <w:rPr>
          <w:rFonts w:hint="eastAsia" w:ascii="宋体" w:hAnsi="宋体" w:eastAsia="宋体" w:cs="宋体"/>
          <w:b w:val="0"/>
          <w:bCs w:val="0"/>
          <w:kern w:val="0"/>
          <w:sz w:val="24"/>
          <w:szCs w:val="24"/>
          <w:bdr w:val="none" w:color="auto" w:sz="0" w:space="0"/>
          <w:lang w:val="en-US" w:eastAsia="zh-CN" w:bidi="ar"/>
          <w14:ligatures w14:val="none"/>
        </w:rPr>
        <w:t>政府产业政策精准施策：</w:t>
      </w:r>
      <w:r>
        <w:rPr>
          <w:rFonts w:hint="eastAsia" w:ascii="宋体" w:hAnsi="宋体" w:eastAsia="宋体" w:cs="宋体"/>
          <w:b w:val="0"/>
          <w:bCs w:val="0"/>
          <w:kern w:val="2"/>
          <w:sz w:val="24"/>
          <w:szCs w:val="24"/>
          <w:lang w:val="en-US" w:eastAsia="zh-CN" w:bidi="ar-SA"/>
          <w14:ligatures w14:val="none"/>
        </w:rPr>
        <w:t>利用异质性分析结果，针对不同行业、地区制定差异化 AI 扶持政策，提高财政资金使用效率。</w:t>
      </w:r>
    </w:p>
    <w:p w14:paraId="75AB3793">
      <w:pPr>
        <w:keepNext w:val="0"/>
        <w:keepLines w:val="0"/>
        <w:pageBreakBefore w:val="0"/>
        <w:widowControl/>
        <w:numPr>
          <w:ilvl w:val="0"/>
          <w:numId w:val="9"/>
        </w:numPr>
        <w:kinsoku/>
        <w:wordWrap/>
        <w:overflowPunct/>
        <w:topLinePunct w:val="0"/>
        <w:autoSpaceDE/>
        <w:autoSpaceDN/>
        <w:bidi w:val="0"/>
        <w:adjustRightInd/>
        <w:snapToGrid/>
        <w:spacing w:line="480" w:lineRule="exact"/>
        <w:ind w:left="0" w:leftChars="0" w:firstLine="0" w:firstLineChars="0"/>
        <w:textAlignment w:val="auto"/>
        <w:rPr>
          <w:rFonts w:hint="eastAsia" w:ascii="宋体" w:hAnsi="宋体" w:eastAsia="宋体" w:cs="宋体"/>
          <w:b w:val="0"/>
          <w:bCs w:val="0"/>
          <w:kern w:val="2"/>
          <w:sz w:val="24"/>
          <w:szCs w:val="24"/>
          <w:lang w:val="en-US" w:eastAsia="zh-CN" w:bidi="ar-SA"/>
          <w14:ligatures w14:val="none"/>
        </w:rPr>
      </w:pPr>
      <w:r>
        <w:rPr>
          <w:rFonts w:hint="eastAsia" w:ascii="宋体" w:hAnsi="宋体" w:eastAsia="宋体" w:cs="宋体"/>
          <w:b w:val="0"/>
          <w:bCs w:val="0"/>
          <w:kern w:val="0"/>
          <w:sz w:val="24"/>
          <w:szCs w:val="24"/>
          <w:bdr w:val="none" w:color="auto" w:sz="0" w:space="0"/>
          <w:lang w:val="en-US" w:eastAsia="zh-CN" w:bidi="ar"/>
          <w14:ligatures w14:val="none"/>
        </w:rPr>
        <w:t>行业 AI 发展指数构建：</w:t>
      </w:r>
      <w:r>
        <w:rPr>
          <w:rFonts w:hint="eastAsia" w:ascii="宋体" w:hAnsi="宋体" w:eastAsia="宋体" w:cs="宋体"/>
          <w:b w:val="0"/>
          <w:bCs w:val="0"/>
          <w:kern w:val="2"/>
          <w:sz w:val="24"/>
          <w:szCs w:val="24"/>
          <w:lang w:val="en-US" w:eastAsia="zh-CN" w:bidi="ar-SA"/>
          <w14:ligatures w14:val="none"/>
        </w:rPr>
        <w:t>以 AI 关注度与提质增效的关联关系为基础，构建制造业 AI 发展指数，动态监测行业智能化进程。</w:t>
      </w:r>
    </w:p>
    <w:p w14:paraId="07495EC1">
      <w:pPr>
        <w:keepNext w:val="0"/>
        <w:keepLines w:val="0"/>
        <w:pageBreakBefore w:val="0"/>
        <w:widowControl/>
        <w:numPr>
          <w:ilvl w:val="0"/>
          <w:numId w:val="9"/>
        </w:numPr>
        <w:kinsoku/>
        <w:wordWrap/>
        <w:overflowPunct/>
        <w:topLinePunct w:val="0"/>
        <w:autoSpaceDE/>
        <w:autoSpaceDN/>
        <w:bidi w:val="0"/>
        <w:adjustRightInd/>
        <w:snapToGrid/>
        <w:spacing w:line="480" w:lineRule="exact"/>
        <w:ind w:left="0" w:leftChars="0" w:firstLine="0" w:firstLineChars="0"/>
        <w:textAlignment w:val="auto"/>
        <w:rPr>
          <w:rFonts w:hint="eastAsia" w:ascii="宋体" w:hAnsi="宋体" w:eastAsia="宋体" w:cs="宋体"/>
          <w:b w:val="0"/>
          <w:bCs w:val="0"/>
          <w:kern w:val="2"/>
          <w:sz w:val="24"/>
          <w:szCs w:val="24"/>
          <w:lang w:val="en-US" w:eastAsia="zh-CN" w:bidi="ar-SA"/>
          <w14:ligatures w14:val="none"/>
        </w:rPr>
      </w:pPr>
      <w:r>
        <w:rPr>
          <w:rFonts w:hint="eastAsia" w:ascii="宋体" w:hAnsi="宋体" w:eastAsia="宋体" w:cs="宋体"/>
          <w:b w:val="0"/>
          <w:bCs w:val="0"/>
          <w:kern w:val="0"/>
          <w:sz w:val="24"/>
          <w:szCs w:val="24"/>
          <w:bdr w:val="none" w:color="auto" w:sz="0" w:space="0"/>
          <w:lang w:val="en-US" w:eastAsia="zh-CN" w:bidi="ar"/>
          <w14:ligatures w14:val="none"/>
        </w:rPr>
        <w:t>金融机构信贷评估：</w:t>
      </w:r>
      <w:r>
        <w:rPr>
          <w:rFonts w:hint="eastAsia" w:ascii="宋体" w:hAnsi="宋体" w:eastAsia="宋体" w:cs="宋体"/>
          <w:b w:val="0"/>
          <w:bCs w:val="0"/>
          <w:kern w:val="2"/>
          <w:sz w:val="24"/>
          <w:szCs w:val="24"/>
          <w:lang w:val="en-US" w:eastAsia="zh-CN" w:bidi="ar-SA"/>
          <w14:ligatures w14:val="none"/>
        </w:rPr>
        <w:t>将 AI 应用水平纳入企业信用评价体系，为高 AI 转化效率企业提供差异化信贷支持。</w:t>
      </w:r>
    </w:p>
    <w:p w14:paraId="166D849C">
      <w:pPr>
        <w:keepNext w:val="0"/>
        <w:keepLines w:val="0"/>
        <w:pageBreakBefore w:val="0"/>
        <w:widowControl/>
        <w:numPr>
          <w:ilvl w:val="0"/>
          <w:numId w:val="9"/>
        </w:numPr>
        <w:kinsoku/>
        <w:wordWrap/>
        <w:overflowPunct/>
        <w:topLinePunct w:val="0"/>
        <w:autoSpaceDE/>
        <w:autoSpaceDN/>
        <w:bidi w:val="0"/>
        <w:adjustRightInd/>
        <w:snapToGrid/>
        <w:spacing w:line="480" w:lineRule="exact"/>
        <w:ind w:left="0" w:leftChars="0" w:firstLine="0" w:firstLineChars="0"/>
        <w:textAlignment w:val="auto"/>
        <w:rPr>
          <w:rFonts w:hint="eastAsia" w:ascii="宋体" w:hAnsi="宋体" w:eastAsia="宋体" w:cs="宋体"/>
          <w:b w:val="0"/>
          <w:bCs w:val="0"/>
          <w:kern w:val="2"/>
          <w:sz w:val="24"/>
          <w:szCs w:val="24"/>
          <w:lang w:val="en-US" w:eastAsia="zh-CN" w:bidi="ar-SA"/>
          <w14:ligatures w14:val="none"/>
        </w:rPr>
      </w:pPr>
      <w:r>
        <w:rPr>
          <w:rFonts w:hint="eastAsia" w:ascii="宋体" w:hAnsi="宋体" w:eastAsia="宋体" w:cs="宋体"/>
          <w:b w:val="0"/>
          <w:bCs w:val="0"/>
          <w:kern w:val="2"/>
          <w:sz w:val="24"/>
          <w:szCs w:val="24"/>
          <w:lang w:val="en-US" w:eastAsia="zh-CN" w:bidi="ar-SA"/>
          <w14:ligatures w14:val="none"/>
        </w:rPr>
        <w:t>（全文字数：1487 字）</w:t>
      </w:r>
    </w:p>
    <w:p w14:paraId="7E39D3EC">
      <w:pPr>
        <w:keepNext w:val="0"/>
        <w:keepLines w:val="0"/>
        <w:pageBreakBefore w:val="0"/>
        <w:widowControl/>
        <w:kinsoku/>
        <w:wordWrap/>
        <w:overflowPunct/>
        <w:topLinePunct w:val="0"/>
        <w:autoSpaceDE/>
        <w:autoSpaceDN/>
        <w:bidi w:val="0"/>
        <w:adjustRightInd/>
        <w:snapToGrid/>
        <w:spacing w:line="480" w:lineRule="exact"/>
        <w:textAlignment w:val="auto"/>
        <w:outlineLvl w:val="0"/>
        <w:rPr>
          <w:rFonts w:hint="eastAsia" w:ascii="宋体" w:hAnsi="宋体" w:eastAsia="宋体" w:cs="宋体"/>
          <w:b w:val="0"/>
          <w:bCs w:val="0"/>
          <w:kern w:val="2"/>
          <w:sz w:val="24"/>
          <w:szCs w:val="24"/>
          <w:lang w:val="en-US" w:eastAsia="zh-CN" w:bidi="ar-SA"/>
          <w14:ligatures w14:val="none"/>
        </w:rPr>
      </w:pPr>
      <w:r>
        <w:rPr>
          <w:rFonts w:hint="eastAsia" w:ascii="宋体" w:hAnsi="宋体" w:eastAsia="宋体" w:cs="宋体"/>
          <w:b w:val="0"/>
          <w:bCs w:val="0"/>
          <w:kern w:val="2"/>
          <w:sz w:val="24"/>
          <w:szCs w:val="24"/>
          <w:lang w:val="en-US" w:eastAsia="zh-CN" w:bidi="ar-SA"/>
          <w14:ligatures w14:val="none"/>
        </w:rPr>
        <w:t>第 8 章 研究局限与展望</w:t>
      </w:r>
    </w:p>
    <w:p w14:paraId="0D77D8C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b w:val="0"/>
          <w:bCs w:val="0"/>
          <w:kern w:val="0"/>
          <w:sz w:val="24"/>
          <w:szCs w:val="24"/>
          <w:bdr w:val="none" w:color="auto" w:sz="0" w:space="0"/>
          <w:lang w:val="en-US" w:eastAsia="zh-CN" w:bidi="ar"/>
          <w14:ligatures w14:val="none"/>
        </w:rPr>
      </w:pPr>
      <w:r>
        <w:rPr>
          <w:rFonts w:hint="eastAsia" w:ascii="宋体" w:hAnsi="宋体" w:eastAsia="宋体" w:cs="宋体"/>
          <w:b w:val="0"/>
          <w:bCs w:val="0"/>
          <w:kern w:val="0"/>
          <w:sz w:val="24"/>
          <w:szCs w:val="24"/>
          <w:bdr w:val="none" w:color="auto" w:sz="0" w:space="0"/>
          <w:lang w:val="en-US" w:eastAsia="zh-CN" w:bidi="ar"/>
          <w14:ligatures w14:val="none"/>
        </w:rPr>
        <w:t>8.1 研究局限性</w:t>
      </w:r>
    </w:p>
    <w:p w14:paraId="341E4544">
      <w:pPr>
        <w:keepNext w:val="0"/>
        <w:keepLines w:val="0"/>
        <w:pageBreakBefore w:val="0"/>
        <w:widowControl/>
        <w:kinsoku/>
        <w:wordWrap/>
        <w:overflowPunct/>
        <w:topLinePunct w:val="0"/>
        <w:autoSpaceDE/>
        <w:autoSpaceDN/>
        <w:bidi w:val="0"/>
        <w:adjustRightInd/>
        <w:snapToGrid/>
        <w:spacing w:line="480" w:lineRule="exact"/>
        <w:ind w:left="0" w:leftChars="0" w:firstLine="0" w:firstLineChars="0"/>
        <w:textAlignment w:val="auto"/>
        <w:rPr>
          <w:rFonts w:hint="eastAsia" w:ascii="宋体" w:hAnsi="宋体" w:eastAsia="宋体" w:cs="宋体"/>
          <w:b w:val="0"/>
          <w:bCs w:val="0"/>
          <w:kern w:val="2"/>
          <w:sz w:val="24"/>
          <w:szCs w:val="24"/>
          <w:lang w:val="en-US" w:eastAsia="zh-CN" w:bidi="ar-SA"/>
          <w14:ligatures w14:val="none"/>
        </w:rPr>
      </w:pPr>
      <w:r>
        <w:rPr>
          <w:rFonts w:hint="eastAsia" w:ascii="宋体" w:hAnsi="宋体" w:eastAsia="宋体" w:cs="宋体"/>
          <w:b w:val="0"/>
          <w:bCs w:val="0"/>
          <w:kern w:val="2"/>
          <w:sz w:val="24"/>
          <w:szCs w:val="24"/>
          <w:lang w:val="en-US" w:eastAsia="zh-CN" w:bidi="ar-SA"/>
          <w14:ligatures w14:val="none"/>
        </w:rPr>
        <w:t>本研究存在三方面局限：一是数据层面，采用年报 AI 词频衡量 AI 关注度，无法完全区分概念性披露与实质性规划，存在测量误差；样本仅覆盖 A 股制造业上市公司，未包含非上市企业与服务业企业。二是模型层面，固定效应模型无法完全解决内生性问题，因果识别强度有限。三是机制层面，未深入探讨 AI 对不同岗位劳动生产率的差异化影响，机制分析的颗粒度有待细化。</w:t>
      </w:r>
    </w:p>
    <w:p w14:paraId="738A23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b w:val="0"/>
          <w:bCs w:val="0"/>
          <w:kern w:val="0"/>
          <w:sz w:val="24"/>
          <w:szCs w:val="24"/>
          <w:bdr w:val="none" w:color="auto" w:sz="0" w:space="0"/>
          <w:lang w:val="en-US" w:eastAsia="zh-CN" w:bidi="ar"/>
          <w14:ligatures w14:val="none"/>
        </w:rPr>
      </w:pPr>
      <w:r>
        <w:rPr>
          <w:rFonts w:hint="eastAsia" w:ascii="宋体" w:hAnsi="宋体" w:eastAsia="宋体" w:cs="宋体"/>
          <w:b w:val="0"/>
          <w:bCs w:val="0"/>
          <w:kern w:val="0"/>
          <w:sz w:val="24"/>
          <w:szCs w:val="24"/>
          <w:bdr w:val="none" w:color="auto" w:sz="0" w:space="0"/>
          <w:lang w:val="en-US" w:eastAsia="zh-CN" w:bidi="ar"/>
          <w14:ligatures w14:val="none"/>
        </w:rPr>
        <w:t>8.2 未来研究方向</w:t>
      </w:r>
    </w:p>
    <w:p w14:paraId="26CF222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b w:val="0"/>
          <w:bCs w:val="0"/>
          <w:kern w:val="0"/>
          <w:sz w:val="24"/>
          <w:szCs w:val="24"/>
          <w:bdr w:val="none" w:color="auto" w:sz="0" w:space="0"/>
          <w:lang w:val="en-US" w:eastAsia="zh-CN" w:bidi="ar"/>
          <w14:ligatures w14:val="none"/>
        </w:rPr>
      </w:pPr>
      <w:r>
        <w:rPr>
          <w:rFonts w:hint="eastAsia" w:ascii="宋体" w:hAnsi="宋体" w:eastAsia="宋体" w:cs="宋体"/>
          <w:b w:val="0"/>
          <w:bCs w:val="0"/>
          <w:kern w:val="2"/>
          <w:sz w:val="24"/>
          <w:szCs w:val="24"/>
          <w:lang w:val="en-US" w:eastAsia="zh-CN" w:bidi="ar-SA"/>
          <w14:ligatures w14:val="none"/>
        </w:rPr>
        <w:t>未来可从三方面拓展：一是数据维度，结合企业 AI 专利、设备采购、员工技能等微观数据，更精准刻画 AI 实际应用水平；二是方法维度，采用工具变量、断点回归等方法强化因果识别，引入大语言模型优化文本分析精度；三是场景维度，拓展至服务业、中小企业等研究对象，探究 AI 在不同领域的赋能机制与边界条件。</w:t>
      </w:r>
    </w:p>
    <w:tbl>
      <w:tblPr>
        <w:tblW w:w="97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671"/>
        <w:gridCol w:w="1086"/>
        <w:gridCol w:w="1600"/>
        <w:gridCol w:w="817"/>
        <w:gridCol w:w="1071"/>
        <w:gridCol w:w="966"/>
        <w:gridCol w:w="966"/>
        <w:gridCol w:w="968"/>
        <w:gridCol w:w="841"/>
      </w:tblGrid>
      <w:tr w14:paraId="09B4B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1671" w:type="dxa"/>
            <w:tcBorders>
              <w:top w:val="single" w:color="auto" w:sz="12" w:space="0"/>
              <w:left w:val="nil"/>
              <w:bottom w:val="single" w:color="auto" w:sz="4" w:space="0"/>
              <w:right w:val="nil"/>
            </w:tcBorders>
            <w:shd w:val="clear" w:color="auto" w:fill="FFFFFF"/>
            <w:noWrap/>
            <w:vAlign w:val="center"/>
          </w:tcPr>
          <w:p w14:paraId="242882F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模型</w:t>
            </w:r>
          </w:p>
        </w:tc>
        <w:tc>
          <w:tcPr>
            <w:tcW w:w="1086" w:type="dxa"/>
            <w:tcBorders>
              <w:top w:val="single" w:color="auto" w:sz="12" w:space="0"/>
              <w:left w:val="nil"/>
              <w:bottom w:val="single" w:color="auto" w:sz="4" w:space="0"/>
              <w:right w:val="nil"/>
            </w:tcBorders>
            <w:shd w:val="clear" w:color="auto" w:fill="FFFFFF"/>
            <w:noWrap/>
            <w:vAlign w:val="center"/>
          </w:tcPr>
          <w:p w14:paraId="153789D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被解释变量</w:t>
            </w:r>
          </w:p>
        </w:tc>
        <w:tc>
          <w:tcPr>
            <w:tcW w:w="1600" w:type="dxa"/>
            <w:tcBorders>
              <w:top w:val="single" w:color="auto" w:sz="12" w:space="0"/>
              <w:left w:val="nil"/>
              <w:bottom w:val="single" w:color="auto" w:sz="4" w:space="0"/>
              <w:right w:val="nil"/>
            </w:tcBorders>
            <w:shd w:val="clear" w:color="auto" w:fill="FFFFFF"/>
            <w:noWrap/>
            <w:vAlign w:val="center"/>
          </w:tcPr>
          <w:p w14:paraId="2799445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核心解释变量</w:t>
            </w:r>
          </w:p>
        </w:tc>
        <w:tc>
          <w:tcPr>
            <w:tcW w:w="817" w:type="dxa"/>
            <w:tcBorders>
              <w:top w:val="single" w:color="auto" w:sz="12" w:space="0"/>
              <w:left w:val="nil"/>
              <w:bottom w:val="single" w:color="auto" w:sz="4" w:space="0"/>
              <w:right w:val="nil"/>
            </w:tcBorders>
            <w:shd w:val="clear" w:color="auto" w:fill="FFFFFF"/>
            <w:noWrap/>
            <w:vAlign w:val="center"/>
          </w:tcPr>
          <w:p w14:paraId="4865D5A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系数</w:t>
            </w:r>
          </w:p>
        </w:tc>
        <w:tc>
          <w:tcPr>
            <w:tcW w:w="1071" w:type="dxa"/>
            <w:tcBorders>
              <w:top w:val="single" w:color="auto" w:sz="12" w:space="0"/>
              <w:left w:val="nil"/>
              <w:bottom w:val="single" w:color="auto" w:sz="4" w:space="0"/>
              <w:right w:val="nil"/>
            </w:tcBorders>
            <w:shd w:val="clear" w:color="auto" w:fill="FFFFFF"/>
            <w:noWrap/>
            <w:vAlign w:val="center"/>
          </w:tcPr>
          <w:p w14:paraId="486F57A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标准误</w:t>
            </w:r>
          </w:p>
        </w:tc>
        <w:tc>
          <w:tcPr>
            <w:tcW w:w="966" w:type="dxa"/>
            <w:tcBorders>
              <w:top w:val="single" w:color="auto" w:sz="12" w:space="0"/>
              <w:left w:val="nil"/>
              <w:bottom w:val="single" w:color="auto" w:sz="4" w:space="0"/>
              <w:right w:val="nil"/>
            </w:tcBorders>
            <w:shd w:val="clear" w:color="auto" w:fill="FFFFFF"/>
            <w:noWrap/>
            <w:vAlign w:val="center"/>
          </w:tcPr>
          <w:p w14:paraId="5219E7C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t值</w:t>
            </w:r>
          </w:p>
        </w:tc>
        <w:tc>
          <w:tcPr>
            <w:tcW w:w="966" w:type="dxa"/>
            <w:tcBorders>
              <w:top w:val="single" w:color="auto" w:sz="12" w:space="0"/>
              <w:left w:val="nil"/>
              <w:bottom w:val="single" w:color="auto" w:sz="4" w:space="0"/>
              <w:right w:val="nil"/>
            </w:tcBorders>
            <w:shd w:val="clear" w:color="auto" w:fill="FFFFFF"/>
            <w:noWrap/>
            <w:vAlign w:val="center"/>
          </w:tcPr>
          <w:p w14:paraId="2DDB46F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themeColor="dark1"/>
                <w:sz w:val="21"/>
                <w:szCs w:val="21"/>
                <w:u w:val="none"/>
                <w14:textFill>
                  <w14:solidFill>
                    <w14:schemeClr w14:val="dk1"/>
                  </w14:solidFill>
                </w14:textFill>
              </w:rPr>
            </w:pPr>
            <w:r>
              <w:rPr>
                <w:rFonts w:hint="eastAsia" w:ascii="宋体" w:hAnsi="宋体" w:eastAsia="宋体" w:cs="宋体"/>
                <w:b/>
                <w:i w:val="0"/>
                <w:iCs w:val="0"/>
                <w:color w:val="000000" w:themeColor="dark1"/>
                <w:kern w:val="0"/>
                <w:sz w:val="21"/>
                <w:szCs w:val="21"/>
                <w:u w:val="none"/>
                <w:bdr w:val="none" w:color="auto" w:sz="0" w:space="0"/>
                <w:lang w:val="en-US" w:eastAsia="zh-CN" w:bidi="ar"/>
                <w14:textFill>
                  <w14:solidFill>
                    <w14:schemeClr w14:val="dk1"/>
                  </w14:solidFill>
                </w14:textFill>
                <w14:ligatures w14:val="none"/>
              </w:rPr>
              <w:t>p值</w:t>
            </w:r>
          </w:p>
        </w:tc>
        <w:tc>
          <w:tcPr>
            <w:tcW w:w="968" w:type="dxa"/>
            <w:tcBorders>
              <w:top w:val="single" w:color="auto" w:sz="12" w:space="0"/>
              <w:left w:val="nil"/>
              <w:bottom w:val="single" w:color="auto" w:sz="4" w:space="0"/>
              <w:right w:val="nil"/>
            </w:tcBorders>
            <w:shd w:val="clear"/>
            <w:noWrap/>
            <w:vAlign w:val="center"/>
          </w:tcPr>
          <w:p w14:paraId="2FFFC79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sz w:val="21"/>
                <w:szCs w:val="22"/>
                <w:u w:val="none"/>
              </w:rPr>
            </w:pPr>
            <w:r>
              <w:rPr>
                <w:rFonts w:hint="eastAsia" w:ascii="宋体" w:hAnsi="宋体" w:eastAsia="宋体" w:cs="宋体"/>
                <w:b/>
                <w:i w:val="0"/>
                <w:iCs w:val="0"/>
                <w:color w:val="000000"/>
                <w:kern w:val="0"/>
                <w:sz w:val="21"/>
                <w:szCs w:val="22"/>
                <w:u w:val="none"/>
                <w:bdr w:val="none" w:color="auto" w:sz="0" w:space="0"/>
                <w:lang w:val="en-US" w:eastAsia="zh-CN" w:bidi="ar"/>
                <w14:ligatures w14:val="none"/>
              </w:rPr>
              <w:t>样本量</w:t>
            </w:r>
          </w:p>
        </w:tc>
        <w:tc>
          <w:tcPr>
            <w:tcW w:w="841" w:type="dxa"/>
            <w:tcBorders>
              <w:top w:val="single" w:color="auto" w:sz="12" w:space="0"/>
              <w:left w:val="nil"/>
              <w:bottom w:val="single" w:color="auto" w:sz="4" w:space="0"/>
              <w:right w:val="nil"/>
            </w:tcBorders>
            <w:shd w:val="clear"/>
            <w:noWrap/>
            <w:vAlign w:val="center"/>
          </w:tcPr>
          <w:p w14:paraId="2BD7797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sz w:val="21"/>
                <w:szCs w:val="22"/>
                <w:u w:val="none"/>
              </w:rPr>
            </w:pPr>
            <w:r>
              <w:rPr>
                <w:rFonts w:hint="eastAsia" w:ascii="宋体" w:hAnsi="宋体" w:eastAsia="宋体" w:cs="宋体"/>
                <w:b/>
                <w:i w:val="0"/>
                <w:iCs w:val="0"/>
                <w:color w:val="000000"/>
                <w:kern w:val="0"/>
                <w:sz w:val="21"/>
                <w:szCs w:val="22"/>
                <w:u w:val="none"/>
                <w:bdr w:val="none" w:color="auto" w:sz="0" w:space="0"/>
                <w:lang w:val="en-US" w:eastAsia="zh-CN" w:bidi="ar"/>
                <w14:ligatures w14:val="none"/>
              </w:rPr>
              <w:t>拟合指标</w:t>
            </w:r>
          </w:p>
        </w:tc>
      </w:tr>
      <w:tr w14:paraId="71DC3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671" w:type="dxa"/>
            <w:tcBorders>
              <w:top w:val="single" w:color="auto" w:sz="4" w:space="0"/>
              <w:left w:val="nil"/>
              <w:bottom w:val="nil"/>
              <w:right w:val="nil"/>
            </w:tcBorders>
            <w:shd w:val="clear" w:color="auto" w:fill="FFFFFF"/>
            <w:noWrap/>
            <w:vAlign w:val="center"/>
          </w:tcPr>
          <w:p w14:paraId="643D8786">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企业FE：主模型</w:t>
            </w:r>
          </w:p>
        </w:tc>
        <w:tc>
          <w:tcPr>
            <w:tcW w:w="1086" w:type="dxa"/>
            <w:tcBorders>
              <w:top w:val="single" w:color="auto" w:sz="4" w:space="0"/>
              <w:left w:val="nil"/>
              <w:bottom w:val="nil"/>
              <w:right w:val="nil"/>
            </w:tcBorders>
            <w:shd w:val="clear" w:color="auto" w:fill="FFFFFF"/>
            <w:noWrap/>
            <w:vAlign w:val="center"/>
          </w:tcPr>
          <w:p w14:paraId="449F678C">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提质增效指数</w:t>
            </w:r>
          </w:p>
        </w:tc>
        <w:tc>
          <w:tcPr>
            <w:tcW w:w="1600" w:type="dxa"/>
            <w:tcBorders>
              <w:top w:val="single" w:color="auto" w:sz="4" w:space="0"/>
              <w:left w:val="nil"/>
              <w:bottom w:val="nil"/>
              <w:right w:val="nil"/>
            </w:tcBorders>
            <w:shd w:val="clear" w:color="auto" w:fill="FFFFFF"/>
            <w:noWrap/>
            <w:vAlign w:val="center"/>
          </w:tcPr>
          <w:p w14:paraId="5804466D">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年报AI词频</w:t>
            </w:r>
          </w:p>
        </w:tc>
        <w:tc>
          <w:tcPr>
            <w:tcW w:w="817" w:type="dxa"/>
            <w:tcBorders>
              <w:top w:val="single" w:color="auto" w:sz="4" w:space="0"/>
              <w:left w:val="nil"/>
              <w:bottom w:val="nil"/>
              <w:right w:val="nil"/>
            </w:tcBorders>
            <w:shd w:val="clear" w:color="auto" w:fill="FFFFFF"/>
            <w:noWrap/>
            <w:vAlign w:val="center"/>
          </w:tcPr>
          <w:p w14:paraId="0D17ACE2">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0.0142**</w:t>
            </w:r>
          </w:p>
        </w:tc>
        <w:tc>
          <w:tcPr>
            <w:tcW w:w="1071" w:type="dxa"/>
            <w:tcBorders>
              <w:top w:val="single" w:color="auto" w:sz="4" w:space="0"/>
              <w:left w:val="nil"/>
              <w:bottom w:val="nil"/>
              <w:right w:val="nil"/>
            </w:tcBorders>
            <w:shd w:val="clear" w:color="auto" w:fill="FFFFFF"/>
            <w:noWrap/>
            <w:vAlign w:val="center"/>
          </w:tcPr>
          <w:p w14:paraId="0F486DD1">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-0.0068</w:t>
            </w:r>
          </w:p>
        </w:tc>
        <w:tc>
          <w:tcPr>
            <w:tcW w:w="966" w:type="dxa"/>
            <w:tcBorders>
              <w:top w:val="single" w:color="auto" w:sz="4" w:space="0"/>
              <w:left w:val="nil"/>
              <w:bottom w:val="nil"/>
              <w:right w:val="nil"/>
            </w:tcBorders>
            <w:shd w:val="clear" w:color="auto" w:fill="FFFFFF"/>
            <w:noWrap/>
            <w:vAlign w:val="center"/>
          </w:tcPr>
          <w:p w14:paraId="2E2F5095">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2.0924</w:t>
            </w:r>
          </w:p>
        </w:tc>
        <w:tc>
          <w:tcPr>
            <w:tcW w:w="966" w:type="dxa"/>
            <w:tcBorders>
              <w:top w:val="single" w:color="auto" w:sz="4" w:space="0"/>
              <w:left w:val="nil"/>
              <w:bottom w:val="nil"/>
              <w:right w:val="nil"/>
            </w:tcBorders>
            <w:shd w:val="clear" w:color="auto" w:fill="FFFFFF"/>
            <w:noWrap/>
            <w:vAlign w:val="center"/>
          </w:tcPr>
          <w:p w14:paraId="2946F943">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0.0364</w:t>
            </w:r>
          </w:p>
        </w:tc>
        <w:tc>
          <w:tcPr>
            <w:tcW w:w="968" w:type="dxa"/>
            <w:tcBorders>
              <w:top w:val="single" w:color="auto" w:sz="4" w:space="0"/>
              <w:left w:val="nil"/>
              <w:bottom w:val="nil"/>
              <w:right w:val="nil"/>
            </w:tcBorders>
            <w:shd w:val="clear"/>
            <w:noWrap/>
            <w:vAlign w:val="center"/>
          </w:tcPr>
          <w:p w14:paraId="3E065B47">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i w:val="0"/>
                <w:iCs w:val="0"/>
                <w:color w:val="000000"/>
                <w:sz w:val="21"/>
                <w:szCs w:val="22"/>
                <w:u w:val="none"/>
              </w:rPr>
            </w:pPr>
            <w:r>
              <w:rPr>
                <w:rFonts w:hint="eastAsia" w:ascii="宋体" w:hAnsi="宋体" w:eastAsia="宋体" w:cs="宋体"/>
                <w:i w:val="0"/>
                <w:iCs w:val="0"/>
                <w:color w:val="000000"/>
                <w:kern w:val="0"/>
                <w:sz w:val="21"/>
                <w:szCs w:val="22"/>
                <w:u w:val="none"/>
                <w:bdr w:val="none" w:color="auto" w:sz="0" w:space="0"/>
                <w:lang w:val="en-US" w:eastAsia="zh-CN" w:bidi="ar"/>
                <w14:ligatures w14:val="none"/>
              </w:rPr>
              <w:t>26869</w:t>
            </w:r>
          </w:p>
        </w:tc>
        <w:tc>
          <w:tcPr>
            <w:tcW w:w="841" w:type="dxa"/>
            <w:tcBorders>
              <w:top w:val="single" w:color="auto" w:sz="4" w:space="0"/>
              <w:left w:val="nil"/>
              <w:bottom w:val="nil"/>
              <w:right w:val="nil"/>
            </w:tcBorders>
            <w:shd w:val="clear"/>
            <w:noWrap/>
            <w:vAlign w:val="center"/>
          </w:tcPr>
          <w:p w14:paraId="5809098D">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i w:val="0"/>
                <w:iCs w:val="0"/>
                <w:color w:val="000000"/>
                <w:sz w:val="21"/>
                <w:szCs w:val="22"/>
                <w:u w:val="none"/>
              </w:rPr>
            </w:pPr>
            <w:r>
              <w:rPr>
                <w:rFonts w:hint="eastAsia" w:ascii="宋体" w:hAnsi="宋体" w:eastAsia="宋体" w:cs="宋体"/>
                <w:i w:val="0"/>
                <w:iCs w:val="0"/>
                <w:color w:val="000000"/>
                <w:kern w:val="0"/>
                <w:sz w:val="21"/>
                <w:szCs w:val="22"/>
                <w:u w:val="none"/>
                <w:bdr w:val="none" w:color="auto" w:sz="0" w:space="0"/>
                <w:lang w:val="en-US" w:eastAsia="zh-CN" w:bidi="ar"/>
                <w14:ligatures w14:val="none"/>
              </w:rPr>
              <w:t>0.238</w:t>
            </w:r>
          </w:p>
        </w:tc>
      </w:tr>
      <w:tr w14:paraId="46220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671" w:type="dxa"/>
            <w:tcBorders>
              <w:top w:val="nil"/>
              <w:left w:val="nil"/>
              <w:bottom w:val="nil"/>
              <w:right w:val="nil"/>
            </w:tcBorders>
            <w:shd w:val="clear" w:color="auto" w:fill="FFFFFF"/>
            <w:noWrap/>
            <w:vAlign w:val="center"/>
          </w:tcPr>
          <w:p w14:paraId="375D136D">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企业FE：MD&amp;A词频</w:t>
            </w:r>
          </w:p>
        </w:tc>
        <w:tc>
          <w:tcPr>
            <w:tcW w:w="1086" w:type="dxa"/>
            <w:tcBorders>
              <w:top w:val="nil"/>
              <w:left w:val="nil"/>
              <w:bottom w:val="nil"/>
              <w:right w:val="nil"/>
            </w:tcBorders>
            <w:shd w:val="clear" w:color="auto" w:fill="FFFFFF"/>
            <w:noWrap/>
            <w:vAlign w:val="center"/>
          </w:tcPr>
          <w:p w14:paraId="5815DBA9">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提质增效指数</w:t>
            </w:r>
          </w:p>
        </w:tc>
        <w:tc>
          <w:tcPr>
            <w:tcW w:w="1600" w:type="dxa"/>
            <w:tcBorders>
              <w:top w:val="nil"/>
              <w:left w:val="nil"/>
              <w:bottom w:val="nil"/>
              <w:right w:val="nil"/>
            </w:tcBorders>
            <w:shd w:val="clear" w:color="auto" w:fill="FFFFFF"/>
            <w:noWrap/>
            <w:vAlign w:val="center"/>
          </w:tcPr>
          <w:p w14:paraId="2D4E4E9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MD&amp;A AI词频</w:t>
            </w:r>
          </w:p>
        </w:tc>
        <w:tc>
          <w:tcPr>
            <w:tcW w:w="817" w:type="dxa"/>
            <w:tcBorders>
              <w:top w:val="nil"/>
              <w:left w:val="nil"/>
              <w:bottom w:val="nil"/>
              <w:right w:val="nil"/>
            </w:tcBorders>
            <w:shd w:val="clear" w:color="auto" w:fill="FFFFFF"/>
            <w:noWrap/>
            <w:vAlign w:val="center"/>
          </w:tcPr>
          <w:p w14:paraId="65F6D02E">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0.0131*</w:t>
            </w:r>
          </w:p>
        </w:tc>
        <w:tc>
          <w:tcPr>
            <w:tcW w:w="1071" w:type="dxa"/>
            <w:tcBorders>
              <w:top w:val="nil"/>
              <w:left w:val="nil"/>
              <w:bottom w:val="nil"/>
              <w:right w:val="nil"/>
            </w:tcBorders>
            <w:shd w:val="clear" w:color="auto" w:fill="FFFFFF"/>
            <w:noWrap/>
            <w:vAlign w:val="center"/>
          </w:tcPr>
          <w:p w14:paraId="1C63AB4E">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-0.0068</w:t>
            </w:r>
          </w:p>
        </w:tc>
        <w:tc>
          <w:tcPr>
            <w:tcW w:w="966" w:type="dxa"/>
            <w:tcBorders>
              <w:top w:val="nil"/>
              <w:left w:val="nil"/>
              <w:bottom w:val="nil"/>
              <w:right w:val="nil"/>
            </w:tcBorders>
            <w:shd w:val="clear" w:color="auto" w:fill="FFFFFF"/>
            <w:noWrap/>
            <w:vAlign w:val="center"/>
          </w:tcPr>
          <w:p w14:paraId="2D9861D4">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1.9256</w:t>
            </w:r>
          </w:p>
        </w:tc>
        <w:tc>
          <w:tcPr>
            <w:tcW w:w="966" w:type="dxa"/>
            <w:tcBorders>
              <w:top w:val="nil"/>
              <w:left w:val="nil"/>
              <w:bottom w:val="nil"/>
              <w:right w:val="nil"/>
            </w:tcBorders>
            <w:shd w:val="clear" w:color="auto" w:fill="FFFFFF"/>
            <w:noWrap/>
            <w:vAlign w:val="center"/>
          </w:tcPr>
          <w:p w14:paraId="047CDCC1">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w:t>
            </w:r>
          </w:p>
          <w:p w14:paraId="1E22A3A1">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0542</w:t>
            </w:r>
          </w:p>
        </w:tc>
        <w:tc>
          <w:tcPr>
            <w:tcW w:w="968" w:type="dxa"/>
            <w:tcBorders>
              <w:top w:val="nil"/>
              <w:left w:val="nil"/>
              <w:bottom w:val="nil"/>
              <w:right w:val="nil"/>
            </w:tcBorders>
            <w:shd w:val="clear"/>
            <w:noWrap/>
            <w:vAlign w:val="center"/>
          </w:tcPr>
          <w:p w14:paraId="680855A6">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i w:val="0"/>
                <w:iCs w:val="0"/>
                <w:color w:val="000000"/>
                <w:sz w:val="21"/>
                <w:szCs w:val="22"/>
                <w:u w:val="none"/>
              </w:rPr>
            </w:pPr>
            <w:r>
              <w:rPr>
                <w:rFonts w:hint="eastAsia" w:ascii="宋体" w:hAnsi="宋体" w:eastAsia="宋体" w:cs="宋体"/>
                <w:i w:val="0"/>
                <w:iCs w:val="0"/>
                <w:color w:val="000000"/>
                <w:kern w:val="0"/>
                <w:sz w:val="21"/>
                <w:szCs w:val="22"/>
                <w:u w:val="none"/>
                <w:bdr w:val="none" w:color="auto" w:sz="0" w:space="0"/>
                <w:lang w:val="en-US" w:eastAsia="zh-CN" w:bidi="ar"/>
                <w14:ligatures w14:val="none"/>
              </w:rPr>
              <w:t>26869</w:t>
            </w:r>
          </w:p>
        </w:tc>
        <w:tc>
          <w:tcPr>
            <w:tcW w:w="841" w:type="dxa"/>
            <w:tcBorders>
              <w:top w:val="nil"/>
              <w:left w:val="nil"/>
              <w:bottom w:val="nil"/>
              <w:right w:val="nil"/>
            </w:tcBorders>
            <w:shd w:val="clear"/>
            <w:noWrap/>
            <w:vAlign w:val="center"/>
          </w:tcPr>
          <w:p w14:paraId="1A57DCC8">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i w:val="0"/>
                <w:iCs w:val="0"/>
                <w:color w:val="000000"/>
                <w:sz w:val="21"/>
                <w:szCs w:val="22"/>
                <w:u w:val="none"/>
              </w:rPr>
            </w:pPr>
            <w:r>
              <w:rPr>
                <w:rFonts w:hint="eastAsia" w:ascii="宋体" w:hAnsi="宋体" w:eastAsia="宋体" w:cs="宋体"/>
                <w:i w:val="0"/>
                <w:iCs w:val="0"/>
                <w:color w:val="000000"/>
                <w:kern w:val="0"/>
                <w:sz w:val="21"/>
                <w:szCs w:val="22"/>
                <w:u w:val="none"/>
                <w:bdr w:val="none" w:color="auto" w:sz="0" w:space="0"/>
                <w:lang w:val="en-US" w:eastAsia="zh-CN" w:bidi="ar"/>
                <w14:ligatures w14:val="none"/>
              </w:rPr>
              <w:t>0.2379</w:t>
            </w:r>
          </w:p>
        </w:tc>
      </w:tr>
      <w:tr w14:paraId="62A3D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671" w:type="dxa"/>
            <w:tcBorders>
              <w:top w:val="nil"/>
              <w:left w:val="nil"/>
              <w:bottom w:val="nil"/>
              <w:right w:val="nil"/>
            </w:tcBorders>
            <w:shd w:val="clear" w:color="auto" w:fill="FFFFFF"/>
            <w:noWrap/>
            <w:vAlign w:val="center"/>
          </w:tcPr>
          <w:p w14:paraId="299F6D1D">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企业FE：综合AI指数</w:t>
            </w:r>
          </w:p>
        </w:tc>
        <w:tc>
          <w:tcPr>
            <w:tcW w:w="1086" w:type="dxa"/>
            <w:tcBorders>
              <w:top w:val="nil"/>
              <w:left w:val="nil"/>
              <w:bottom w:val="nil"/>
              <w:right w:val="nil"/>
            </w:tcBorders>
            <w:shd w:val="clear" w:color="auto" w:fill="FFFFFF"/>
            <w:noWrap/>
            <w:vAlign w:val="center"/>
          </w:tcPr>
          <w:p w14:paraId="2FA9E19F">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提质增效指数</w:t>
            </w:r>
          </w:p>
        </w:tc>
        <w:tc>
          <w:tcPr>
            <w:tcW w:w="1600" w:type="dxa"/>
            <w:tcBorders>
              <w:top w:val="nil"/>
              <w:left w:val="nil"/>
              <w:bottom w:val="nil"/>
              <w:right w:val="nil"/>
            </w:tcBorders>
            <w:shd w:val="clear" w:color="auto" w:fill="FFFFFF"/>
            <w:noWrap/>
            <w:vAlign w:val="center"/>
          </w:tcPr>
          <w:p w14:paraId="72B5CF6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综合AI应用指数</w:t>
            </w:r>
          </w:p>
        </w:tc>
        <w:tc>
          <w:tcPr>
            <w:tcW w:w="817" w:type="dxa"/>
            <w:tcBorders>
              <w:top w:val="nil"/>
              <w:left w:val="nil"/>
              <w:bottom w:val="nil"/>
              <w:right w:val="nil"/>
            </w:tcBorders>
            <w:shd w:val="clear" w:color="auto" w:fill="FFFFFF"/>
            <w:noWrap/>
            <w:vAlign w:val="center"/>
          </w:tcPr>
          <w:p w14:paraId="358F95D3">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0.0038</w:t>
            </w:r>
          </w:p>
        </w:tc>
        <w:tc>
          <w:tcPr>
            <w:tcW w:w="1071" w:type="dxa"/>
            <w:tcBorders>
              <w:top w:val="nil"/>
              <w:left w:val="nil"/>
              <w:bottom w:val="nil"/>
              <w:right w:val="nil"/>
            </w:tcBorders>
            <w:shd w:val="clear" w:color="auto" w:fill="FFFFFF"/>
            <w:noWrap/>
            <w:vAlign w:val="center"/>
          </w:tcPr>
          <w:p w14:paraId="06D8040F">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-0.0139</w:t>
            </w:r>
          </w:p>
        </w:tc>
        <w:tc>
          <w:tcPr>
            <w:tcW w:w="966" w:type="dxa"/>
            <w:tcBorders>
              <w:top w:val="nil"/>
              <w:left w:val="nil"/>
              <w:bottom w:val="nil"/>
              <w:right w:val="nil"/>
            </w:tcBorders>
            <w:shd w:val="clear" w:color="auto" w:fill="FFFFFF"/>
            <w:noWrap/>
            <w:vAlign w:val="center"/>
          </w:tcPr>
          <w:p w14:paraId="125539CC">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0.2741</w:t>
            </w:r>
          </w:p>
        </w:tc>
        <w:tc>
          <w:tcPr>
            <w:tcW w:w="966" w:type="dxa"/>
            <w:tcBorders>
              <w:top w:val="nil"/>
              <w:left w:val="nil"/>
              <w:bottom w:val="nil"/>
              <w:right w:val="nil"/>
            </w:tcBorders>
            <w:shd w:val="clear" w:color="auto" w:fill="FFFFFF"/>
            <w:noWrap/>
            <w:vAlign w:val="center"/>
          </w:tcPr>
          <w:p w14:paraId="67BFCA5F">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0.784</w:t>
            </w:r>
          </w:p>
        </w:tc>
        <w:tc>
          <w:tcPr>
            <w:tcW w:w="968" w:type="dxa"/>
            <w:tcBorders>
              <w:top w:val="nil"/>
              <w:left w:val="nil"/>
              <w:bottom w:val="nil"/>
              <w:right w:val="nil"/>
            </w:tcBorders>
            <w:shd w:val="clear"/>
            <w:noWrap/>
            <w:vAlign w:val="center"/>
          </w:tcPr>
          <w:p w14:paraId="5B73DEB8">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i w:val="0"/>
                <w:iCs w:val="0"/>
                <w:color w:val="000000"/>
                <w:sz w:val="21"/>
                <w:szCs w:val="22"/>
                <w:u w:val="none"/>
              </w:rPr>
            </w:pPr>
            <w:r>
              <w:rPr>
                <w:rFonts w:hint="eastAsia" w:ascii="宋体" w:hAnsi="宋体" w:eastAsia="宋体" w:cs="宋体"/>
                <w:i w:val="0"/>
                <w:iCs w:val="0"/>
                <w:color w:val="000000"/>
                <w:kern w:val="0"/>
                <w:sz w:val="21"/>
                <w:szCs w:val="22"/>
                <w:u w:val="none"/>
                <w:bdr w:val="none" w:color="auto" w:sz="0" w:space="0"/>
                <w:lang w:val="en-US" w:eastAsia="zh-CN" w:bidi="ar"/>
                <w14:ligatures w14:val="none"/>
              </w:rPr>
              <w:t>27312</w:t>
            </w:r>
          </w:p>
        </w:tc>
        <w:tc>
          <w:tcPr>
            <w:tcW w:w="841" w:type="dxa"/>
            <w:tcBorders>
              <w:top w:val="nil"/>
              <w:left w:val="nil"/>
              <w:bottom w:val="nil"/>
              <w:right w:val="nil"/>
            </w:tcBorders>
            <w:shd w:val="clear"/>
            <w:noWrap/>
            <w:vAlign w:val="center"/>
          </w:tcPr>
          <w:p w14:paraId="0DB5877A">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i w:val="0"/>
                <w:iCs w:val="0"/>
                <w:color w:val="000000"/>
                <w:sz w:val="21"/>
                <w:szCs w:val="22"/>
                <w:u w:val="none"/>
              </w:rPr>
            </w:pPr>
            <w:r>
              <w:rPr>
                <w:rFonts w:hint="eastAsia" w:ascii="宋体" w:hAnsi="宋体" w:eastAsia="宋体" w:cs="宋体"/>
                <w:i w:val="0"/>
                <w:iCs w:val="0"/>
                <w:color w:val="000000"/>
                <w:kern w:val="0"/>
                <w:sz w:val="21"/>
                <w:szCs w:val="22"/>
                <w:u w:val="none"/>
                <w:bdr w:val="none" w:color="auto" w:sz="0" w:space="0"/>
                <w:lang w:val="en-US" w:eastAsia="zh-CN" w:bidi="ar"/>
                <w14:ligatures w14:val="none"/>
              </w:rPr>
              <w:t>0.2378</w:t>
            </w:r>
          </w:p>
        </w:tc>
      </w:tr>
      <w:tr w14:paraId="1041E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671" w:type="dxa"/>
            <w:tcBorders>
              <w:top w:val="nil"/>
              <w:left w:val="nil"/>
              <w:bottom w:val="single" w:color="auto" w:sz="12" w:space="0"/>
              <w:right w:val="nil"/>
            </w:tcBorders>
            <w:shd w:val="clear" w:color="auto" w:fill="FFFFFF"/>
            <w:noWrap/>
            <w:vAlign w:val="center"/>
          </w:tcPr>
          <w:p w14:paraId="637B5B83">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企业FE：TFP</w:t>
            </w:r>
          </w:p>
        </w:tc>
        <w:tc>
          <w:tcPr>
            <w:tcW w:w="1086" w:type="dxa"/>
            <w:tcBorders>
              <w:top w:val="nil"/>
              <w:left w:val="nil"/>
              <w:bottom w:val="single" w:color="auto" w:sz="12" w:space="0"/>
              <w:right w:val="nil"/>
            </w:tcBorders>
            <w:shd w:val="clear" w:color="auto" w:fill="FFFFFF"/>
            <w:noWrap/>
            <w:vAlign w:val="center"/>
          </w:tcPr>
          <w:p w14:paraId="5F912FCB">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TFP</w:t>
            </w:r>
          </w:p>
        </w:tc>
        <w:tc>
          <w:tcPr>
            <w:tcW w:w="1600" w:type="dxa"/>
            <w:tcBorders>
              <w:top w:val="nil"/>
              <w:left w:val="nil"/>
              <w:bottom w:val="single" w:color="auto" w:sz="12" w:space="0"/>
              <w:right w:val="nil"/>
            </w:tcBorders>
            <w:shd w:val="clear" w:color="auto" w:fill="FFFFFF"/>
            <w:noWrap/>
            <w:vAlign w:val="center"/>
          </w:tcPr>
          <w:p w14:paraId="552B7EE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年报AI词频</w:t>
            </w:r>
          </w:p>
        </w:tc>
        <w:tc>
          <w:tcPr>
            <w:tcW w:w="817" w:type="dxa"/>
            <w:tcBorders>
              <w:top w:val="nil"/>
              <w:left w:val="nil"/>
              <w:bottom w:val="single" w:color="auto" w:sz="12" w:space="0"/>
              <w:right w:val="nil"/>
            </w:tcBorders>
            <w:shd w:val="clear" w:color="auto" w:fill="FFFFFF"/>
            <w:noWrap/>
            <w:vAlign w:val="center"/>
          </w:tcPr>
          <w:p w14:paraId="3F9F3EBB">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0.0119**</w:t>
            </w:r>
          </w:p>
        </w:tc>
        <w:tc>
          <w:tcPr>
            <w:tcW w:w="1071" w:type="dxa"/>
            <w:tcBorders>
              <w:top w:val="nil"/>
              <w:left w:val="nil"/>
              <w:bottom w:val="single" w:color="auto" w:sz="12" w:space="0"/>
              <w:right w:val="nil"/>
            </w:tcBorders>
            <w:shd w:val="clear" w:color="auto" w:fill="FFFFFF"/>
            <w:noWrap/>
            <w:vAlign w:val="center"/>
          </w:tcPr>
          <w:p w14:paraId="62B75385">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-0.0058</w:t>
            </w:r>
          </w:p>
        </w:tc>
        <w:tc>
          <w:tcPr>
            <w:tcW w:w="966" w:type="dxa"/>
            <w:tcBorders>
              <w:top w:val="nil"/>
              <w:left w:val="nil"/>
              <w:bottom w:val="single" w:color="auto" w:sz="12" w:space="0"/>
              <w:right w:val="nil"/>
            </w:tcBorders>
            <w:shd w:val="clear" w:color="auto" w:fill="FFFFFF"/>
            <w:noWrap/>
            <w:vAlign w:val="center"/>
          </w:tcPr>
          <w:p w14:paraId="3E84E743">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2.0466</w:t>
            </w:r>
          </w:p>
        </w:tc>
        <w:tc>
          <w:tcPr>
            <w:tcW w:w="966" w:type="dxa"/>
            <w:tcBorders>
              <w:top w:val="nil"/>
              <w:left w:val="nil"/>
              <w:bottom w:val="single" w:color="auto" w:sz="12" w:space="0"/>
              <w:right w:val="nil"/>
            </w:tcBorders>
            <w:shd w:val="clear" w:color="auto" w:fill="FFFFFF"/>
            <w:noWrap/>
            <w:vAlign w:val="center"/>
          </w:tcPr>
          <w:p w14:paraId="1D8085EB">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b w:val="0"/>
                <w:i w:val="0"/>
                <w:iCs w:val="0"/>
                <w:color w:val="08090C"/>
                <w:sz w:val="21"/>
                <w:szCs w:val="21"/>
                <w:u w:val="none"/>
              </w:rPr>
            </w:pPr>
            <w:r>
              <w:rPr>
                <w:rFonts w:hint="eastAsia" w:ascii="宋体" w:hAnsi="宋体" w:eastAsia="宋体" w:cs="宋体"/>
                <w:b w:val="0"/>
                <w:i w:val="0"/>
                <w:iCs w:val="0"/>
                <w:color w:val="08090C"/>
                <w:kern w:val="0"/>
                <w:sz w:val="21"/>
                <w:szCs w:val="21"/>
                <w:u w:val="none"/>
                <w:bdr w:val="none" w:color="auto" w:sz="0" w:space="0"/>
                <w:lang w:val="en-US" w:eastAsia="zh-CN" w:bidi="ar"/>
                <w14:ligatures w14:val="none"/>
              </w:rPr>
              <w:t>0.0407</w:t>
            </w:r>
          </w:p>
        </w:tc>
        <w:tc>
          <w:tcPr>
            <w:tcW w:w="968" w:type="dxa"/>
            <w:tcBorders>
              <w:top w:val="nil"/>
              <w:left w:val="nil"/>
              <w:bottom w:val="single" w:color="auto" w:sz="12" w:space="0"/>
              <w:right w:val="nil"/>
            </w:tcBorders>
            <w:shd w:val="clear"/>
            <w:noWrap/>
            <w:vAlign w:val="center"/>
          </w:tcPr>
          <w:p w14:paraId="5DAE5771">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i w:val="0"/>
                <w:iCs w:val="0"/>
                <w:color w:val="000000"/>
                <w:sz w:val="21"/>
                <w:szCs w:val="22"/>
                <w:u w:val="none"/>
              </w:rPr>
            </w:pPr>
            <w:r>
              <w:rPr>
                <w:rFonts w:hint="eastAsia" w:ascii="宋体" w:hAnsi="宋体" w:eastAsia="宋体" w:cs="宋体"/>
                <w:i w:val="0"/>
                <w:iCs w:val="0"/>
                <w:color w:val="000000"/>
                <w:kern w:val="0"/>
                <w:sz w:val="21"/>
                <w:szCs w:val="22"/>
                <w:u w:val="none"/>
                <w:bdr w:val="none" w:color="auto" w:sz="0" w:space="0"/>
                <w:lang w:val="en-US" w:eastAsia="zh-CN" w:bidi="ar"/>
                <w14:ligatures w14:val="none"/>
              </w:rPr>
              <w:t>26782</w:t>
            </w:r>
          </w:p>
        </w:tc>
        <w:tc>
          <w:tcPr>
            <w:tcW w:w="841" w:type="dxa"/>
            <w:tcBorders>
              <w:top w:val="nil"/>
              <w:left w:val="nil"/>
              <w:bottom w:val="single" w:color="auto" w:sz="12" w:space="0"/>
              <w:right w:val="nil"/>
            </w:tcBorders>
            <w:shd w:val="clear"/>
            <w:noWrap/>
            <w:vAlign w:val="center"/>
          </w:tcPr>
          <w:p w14:paraId="07065BE8">
            <w:pPr>
              <w:keepNext w:val="0"/>
              <w:keepLines w:val="0"/>
              <w:widowControl/>
              <w:suppressLineNumbers w:val="0"/>
              <w:snapToGrid w:val="0"/>
              <w:spacing w:line="240" w:lineRule="auto"/>
              <w:ind w:left="0" w:leftChars="0" w:right="0" w:rightChars="0" w:firstLine="0" w:firstLineChars="0"/>
              <w:jc w:val="right"/>
              <w:textAlignment w:val="center"/>
              <w:rPr>
                <w:rFonts w:hint="eastAsia" w:ascii="宋体" w:hAnsi="宋体" w:eastAsia="宋体" w:cs="宋体"/>
                <w:i w:val="0"/>
                <w:iCs w:val="0"/>
                <w:color w:val="000000"/>
                <w:sz w:val="21"/>
                <w:szCs w:val="22"/>
                <w:u w:val="none"/>
              </w:rPr>
            </w:pPr>
            <w:r>
              <w:rPr>
                <w:rFonts w:hint="eastAsia" w:ascii="宋体" w:hAnsi="宋体" w:eastAsia="宋体" w:cs="宋体"/>
                <w:i w:val="0"/>
                <w:iCs w:val="0"/>
                <w:color w:val="000000"/>
                <w:kern w:val="0"/>
                <w:sz w:val="21"/>
                <w:szCs w:val="22"/>
                <w:u w:val="none"/>
                <w:bdr w:val="none" w:color="auto" w:sz="0" w:space="0"/>
                <w:lang w:val="en-US" w:eastAsia="zh-CN" w:bidi="ar"/>
                <w14:ligatures w14:val="none"/>
              </w:rPr>
              <w:t>0.1512</w:t>
            </w:r>
          </w:p>
        </w:tc>
      </w:tr>
    </w:tbl>
    <w:p w14:paraId="7F76541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kern w:val="0"/>
          <w:sz w:val="24"/>
          <w:szCs w:val="24"/>
          <w:bdr w:val="none" w:color="auto" w:sz="0" w:space="0"/>
          <w:lang w:val="en-US" w:eastAsia="zh-CN" w:bidi="ar"/>
          <w14:ligatures w14:val="none"/>
        </w:rPr>
      </w:pPr>
    </w:p>
    <w:p w14:paraId="0D85646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jc w:val="left"/>
        <w:textAlignment w:val="auto"/>
        <w:outlineLvl w:val="0"/>
        <w:rPr>
          <w:rFonts w:hint="eastAsia" w:ascii="宋体" w:hAnsi="宋体" w:eastAsia="宋体" w:cs="宋体"/>
          <w:sz w:val="24"/>
          <w:szCs w:val="24"/>
          <w:bdr w:val="none" w:color="auto" w:sz="0" w:space="0"/>
        </w:rPr>
      </w:pPr>
      <w:bookmarkStart w:id="38" w:name="_Toc25737"/>
    </w:p>
    <w:p w14:paraId="704407E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jc w:val="left"/>
        <w:textAlignment w:val="auto"/>
        <w:outlineLvl w:val="0"/>
        <w:rPr>
          <w:rFonts w:hint="eastAsia" w:ascii="宋体" w:hAnsi="宋体" w:eastAsia="宋体" w:cs="宋体"/>
          <w:sz w:val="24"/>
          <w:szCs w:val="24"/>
          <w:bdr w:val="none" w:color="auto" w:sz="0" w:space="0"/>
        </w:rPr>
      </w:pPr>
    </w:p>
    <w:p w14:paraId="31C4810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jc w:val="left"/>
        <w:textAlignment w:val="auto"/>
        <w:outlineLvl w:val="0"/>
        <w:rPr>
          <w:rFonts w:hint="eastAsia" w:ascii="宋体" w:hAnsi="宋体" w:eastAsia="宋体" w:cs="宋体"/>
          <w:sz w:val="24"/>
          <w:szCs w:val="24"/>
          <w:bdr w:val="none" w:color="auto" w:sz="0" w:space="0"/>
        </w:rPr>
      </w:pPr>
    </w:p>
    <w:p w14:paraId="738584F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jc w:val="left"/>
        <w:textAlignment w:val="auto"/>
        <w:outlineLvl w:val="0"/>
        <w:rPr>
          <w:rFonts w:hint="eastAsia" w:ascii="宋体" w:hAnsi="宋体" w:eastAsia="宋体" w:cs="宋体"/>
          <w:sz w:val="24"/>
          <w:szCs w:val="24"/>
          <w:bdr w:val="none" w:color="auto" w:sz="0" w:space="0"/>
        </w:rPr>
      </w:pPr>
    </w:p>
    <w:p w14:paraId="7CBB4EE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jc w:val="left"/>
        <w:textAlignment w:val="auto"/>
        <w:outlineLvl w:val="0"/>
        <w:rPr>
          <w:rFonts w:hint="eastAsia" w:ascii="宋体" w:hAnsi="宋体" w:eastAsia="宋体" w:cs="宋体"/>
          <w:sz w:val="24"/>
          <w:szCs w:val="24"/>
          <w:bdr w:val="none" w:color="auto" w:sz="0" w:space="0"/>
        </w:rPr>
      </w:pPr>
    </w:p>
    <w:p w14:paraId="67E5540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jc w:val="left"/>
        <w:textAlignment w:val="auto"/>
        <w:outlineLvl w:val="0"/>
        <w:rPr>
          <w:rFonts w:hint="eastAsia" w:ascii="宋体" w:hAnsi="宋体" w:eastAsia="宋体" w:cs="宋体"/>
          <w:sz w:val="24"/>
          <w:szCs w:val="24"/>
          <w:bdr w:val="none" w:color="auto" w:sz="0" w:space="0"/>
        </w:rPr>
      </w:pPr>
    </w:p>
    <w:p w14:paraId="57A4660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jc w:val="left"/>
        <w:textAlignment w:val="auto"/>
        <w:outlineLvl w:val="0"/>
        <w:rPr>
          <w:rFonts w:hint="eastAsia" w:ascii="宋体" w:hAnsi="宋体" w:eastAsia="宋体" w:cs="宋体"/>
          <w:sz w:val="24"/>
          <w:szCs w:val="24"/>
          <w:bdr w:val="none" w:color="auto" w:sz="0" w:space="0"/>
        </w:rPr>
      </w:pPr>
    </w:p>
    <w:p w14:paraId="7E2402E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jc w:val="left"/>
        <w:textAlignment w:val="auto"/>
        <w:outlineLvl w:val="0"/>
        <w:rPr>
          <w:rFonts w:hint="eastAsia" w:ascii="宋体" w:hAnsi="宋体" w:eastAsia="宋体" w:cs="宋体"/>
          <w:sz w:val="24"/>
          <w:szCs w:val="24"/>
          <w:bdr w:val="none" w:color="auto" w:sz="0" w:space="0"/>
        </w:rPr>
      </w:pPr>
    </w:p>
    <w:p w14:paraId="1E3913A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jc w:val="left"/>
        <w:textAlignment w:val="auto"/>
        <w:outlineLvl w:val="0"/>
        <w:rPr>
          <w:rFonts w:hint="eastAsia" w:ascii="宋体" w:hAnsi="宋体" w:eastAsia="宋体" w:cs="宋体"/>
          <w:sz w:val="24"/>
          <w:szCs w:val="24"/>
          <w:bdr w:val="none" w:color="auto" w:sz="0" w:space="0"/>
        </w:rPr>
      </w:pPr>
    </w:p>
    <w:p w14:paraId="3DD18A3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jc w:val="left"/>
        <w:textAlignment w:val="auto"/>
        <w:outlineLvl w:val="0"/>
        <w:rPr>
          <w:rFonts w:hint="eastAsia" w:ascii="宋体" w:hAnsi="宋体" w:eastAsia="宋体" w:cs="宋体"/>
          <w:sz w:val="24"/>
          <w:szCs w:val="24"/>
          <w:bdr w:val="none" w:color="auto" w:sz="0" w:space="0"/>
        </w:rPr>
      </w:pPr>
    </w:p>
    <w:p w14:paraId="404BD8C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jc w:val="left"/>
        <w:textAlignment w:val="auto"/>
        <w:outlineLvl w:val="0"/>
        <w:rPr>
          <w:rFonts w:hint="eastAsia" w:ascii="宋体" w:hAnsi="宋体" w:eastAsia="宋体" w:cs="宋体"/>
          <w:sz w:val="24"/>
          <w:szCs w:val="24"/>
          <w:bdr w:val="none" w:color="auto" w:sz="0" w:space="0"/>
        </w:rPr>
      </w:pPr>
    </w:p>
    <w:p w14:paraId="2121D8E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jc w:val="left"/>
        <w:textAlignment w:val="auto"/>
        <w:outlineLvl w:val="0"/>
        <w:rPr>
          <w:rFonts w:hint="eastAsia" w:ascii="宋体" w:hAnsi="宋体" w:eastAsia="宋体" w:cs="宋体"/>
          <w:sz w:val="24"/>
          <w:szCs w:val="24"/>
          <w:bdr w:val="none" w:color="auto" w:sz="0" w:space="0"/>
        </w:rPr>
      </w:pPr>
    </w:p>
    <w:p w14:paraId="16F7988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jc w:val="left"/>
        <w:textAlignment w:val="auto"/>
        <w:outlineLvl w:val="0"/>
        <w:rPr>
          <w:rFonts w:hint="eastAsia" w:ascii="宋体" w:hAnsi="宋体" w:eastAsia="宋体" w:cs="宋体"/>
          <w:sz w:val="24"/>
          <w:szCs w:val="24"/>
          <w:bdr w:val="none" w:color="auto" w:sz="0" w:space="0"/>
        </w:rPr>
      </w:pPr>
    </w:p>
    <w:p w14:paraId="4615DC8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jc w:val="left"/>
        <w:textAlignment w:val="auto"/>
        <w:outlineLvl w:val="0"/>
        <w:rPr>
          <w:rFonts w:hint="eastAsia" w:ascii="宋体" w:hAnsi="宋体" w:eastAsia="宋体" w:cs="宋体"/>
          <w:sz w:val="24"/>
          <w:szCs w:val="24"/>
          <w:bdr w:val="none" w:color="auto" w:sz="0" w:space="0"/>
        </w:rPr>
      </w:pPr>
    </w:p>
    <w:p w14:paraId="68C2F29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jc w:val="left"/>
        <w:textAlignment w:val="auto"/>
        <w:outlineLvl w:val="0"/>
        <w:rPr>
          <w:rFonts w:hint="eastAsia" w:ascii="宋体" w:hAnsi="宋体" w:eastAsia="宋体" w:cs="宋体"/>
          <w:sz w:val="24"/>
          <w:szCs w:val="24"/>
          <w:bdr w:val="none" w:color="auto" w:sz="0" w:space="0"/>
        </w:rPr>
      </w:pPr>
    </w:p>
    <w:bookmarkEnd w:id="38"/>
    <w:p w14:paraId="06DA97A5">
      <w:pPr>
        <w:keepNext w:val="0"/>
        <w:keepLines w:val="0"/>
        <w:pageBreakBefore w:val="0"/>
        <w:widowControl/>
        <w:kinsoku/>
        <w:wordWrap/>
        <w:overflowPunct/>
        <w:topLinePunct w:val="0"/>
        <w:autoSpaceDE/>
        <w:autoSpaceDN/>
        <w:bidi w:val="0"/>
        <w:adjustRightInd/>
        <w:snapToGrid/>
        <w:spacing w:line="480" w:lineRule="exact"/>
        <w:textAlignment w:val="auto"/>
      </w:pPr>
      <w:bookmarkStart w:id="39" w:name="_GoBack"/>
      <w:bookmarkEnd w:id="39"/>
    </w:p>
    <w:p w14:paraId="492F69EA">
      <w:pPr>
        <w:rPr>
          <w:rFonts w:hint="eastAsia"/>
        </w:rPr>
        <w:sectPr>
          <w:footerReference r:id="rId7"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425" w:num="1"/>
          <w:docGrid w:type="lines" w:linePitch="312" w:charSpace="0"/>
        </w:sectPr>
      </w:pPr>
    </w:p>
    <w:p w14:paraId="2A1F48B4">
      <w:pPr>
        <w:rPr>
          <w:rFonts w:hint="default" w:ascii="黑体" w:hAnsi="宋体" w:eastAsia="黑体" w:cs="黑体"/>
          <w:kern w:val="2"/>
          <w:sz w:val="24"/>
          <w:szCs w:val="24"/>
          <w:woUserID w:val="2"/>
        </w:rPr>
        <w:sectPr>
          <w:pgSz w:w="11906" w:h="16838"/>
          <w:pgMar w:top="1440" w:right="1797" w:bottom="1276" w:left="1797" w:header="851" w:footer="376" w:gutter="0"/>
          <w:pgBorders>
            <w:top w:val="none" w:sz="0" w:space="0"/>
            <w:left w:val="none" w:sz="0" w:space="0"/>
            <w:bottom w:val="none" w:sz="0" w:space="0"/>
            <w:right w:val="none" w:sz="0" w:space="0"/>
          </w:pgBorders>
          <w:pgNumType w:start="1"/>
          <w:cols w:space="425" w:num="1"/>
          <w:docGrid w:type="lines" w:linePitch="312" w:charSpace="0"/>
        </w:sectPr>
      </w:pPr>
    </w:p>
    <w:p w14:paraId="59DE59A1">
      <w:pPr>
        <w:rPr>
          <w:rFonts w:hint="eastAsia"/>
        </w:rPr>
      </w:pPr>
    </w:p>
    <w:sectPr>
      <w:pgSz w:w="11906" w:h="16838"/>
      <w:pgMar w:top="1440" w:right="1800" w:bottom="1440" w:left="1800" w:header="851" w:footer="992" w:gutter="0"/>
      <w:pgBorders>
        <w:top w:val="none" w:sz="0" w:space="0"/>
        <w:left w:val="none" w:sz="0" w:space="0"/>
        <w:bottom w:val="none" w:sz="0" w:space="0"/>
        <w:right w:val="none" w:sz="0" w:space="0"/>
      </w:pgBorders>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隶书">
    <w:panose1 w:val="02010509060101010101"/>
    <w:charset w:val="86"/>
    <w:family w:val="modern"/>
    <w:pitch w:val="default"/>
    <w:sig w:usb0="00000001" w:usb1="080E0000" w:usb2="00000000" w:usb3="00000000" w:csb0="00040000" w:csb1="00000000"/>
  </w:font>
  <w:font w:name="方正小标宋_GBK">
    <w:altName w:val="微软雅黑"/>
    <w:panose1 w:val="00000000000000000000"/>
    <w:charset w:val="86"/>
    <w:family w:val="script"/>
    <w:pitch w:val="default"/>
    <w:sig w:usb0="00000000" w:usb1="00000000" w:usb2="00000000" w:usb3="00000000" w:csb0="00040000" w:csb1="00000000"/>
  </w:font>
  <w:font w:name="MiSans Thin">
    <w:altName w:val="宋体"/>
    <w:panose1 w:val="00000200000000000000"/>
    <w:charset w:val="86"/>
    <w:family w:val="auto"/>
    <w:pitch w:val="default"/>
    <w:sig w:usb0="00000000" w:usb1="00000000" w:usb2="00000016" w:usb3="00000000" w:csb0="00040001" w:csb1="00000000"/>
  </w:font>
  <w:font w:name="方正小标宋简体">
    <w:panose1 w:val="02010601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楷体_GBK">
    <w:altName w:val="微软雅黑"/>
    <w:panose1 w:val="00000000000000000000"/>
    <w:charset w:val="00"/>
    <w:family w:val="auto"/>
    <w:pitch w:val="default"/>
    <w:sig w:usb0="00000000" w:usb1="00000000" w:usb2="00000000" w:usb3="00000000" w:csb0="00000000" w:csb1="00000000"/>
  </w:font>
  <w:font w:name="汉仪楷体KW">
    <w:altName w:val="宋体"/>
    <w:panose1 w:val="00020600040101010101"/>
    <w:charset w:val="86"/>
    <w:family w:val="auto"/>
    <w:pitch w:val="default"/>
    <w:sig w:usb0="00000000" w:usb1="00000000" w:usb2="00000016"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汉仪劲楷简">
    <w:panose1 w:val="00020600040101010101"/>
    <w:charset w:val="86"/>
    <w:family w:val="auto"/>
    <w:pitch w:val="default"/>
    <w:sig w:usb0="A00002BF" w:usb1="18EF7CFA" w:usb2="00000016" w:usb3="00000000" w:csb0="00040000" w:csb1="00000000"/>
  </w:font>
  <w:font w:name="汉仪中宋简">
    <w:panose1 w:val="02010600000101010101"/>
    <w:charset w:val="80"/>
    <w:family w:val="auto"/>
    <w:pitch w:val="default"/>
    <w:sig w:usb0="800002BF" w:usb1="184F6CF8" w:usb2="00000012" w:usb3="00000000" w:csb0="00020001"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C84DF">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01416699"/>
      <w:docPartObj>
        <w:docPartGallery w:val="autotext"/>
      </w:docPartObj>
    </w:sdtPr>
    <w:sdtContent>
      <w:p w14:paraId="102F728D">
        <w:pPr>
          <w:pStyle w:val="12"/>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45580118">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2F2BB">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D11C4C"/>
    <w:multiLevelType w:val="singleLevel"/>
    <w:tmpl w:val="95D11C4C"/>
    <w:lvl w:ilvl="0" w:tentative="0">
      <w:start w:val="2"/>
      <w:numFmt w:val="chineseCounting"/>
      <w:suff w:val="nothing"/>
      <w:lvlText w:val="（%1）"/>
      <w:lvlJc w:val="left"/>
      <w:rPr>
        <w:rFonts w:hint="eastAsia"/>
      </w:rPr>
    </w:lvl>
  </w:abstractNum>
  <w:abstractNum w:abstractNumId="1">
    <w:nsid w:val="B3C8B826"/>
    <w:multiLevelType w:val="multilevel"/>
    <w:tmpl w:val="B3C8B8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6C5523D"/>
    <w:multiLevelType w:val="singleLevel"/>
    <w:tmpl w:val="E6C5523D"/>
    <w:lvl w:ilvl="0" w:tentative="0">
      <w:start w:val="1"/>
      <w:numFmt w:val="chineseCounting"/>
      <w:suff w:val="nothing"/>
      <w:lvlText w:val="%1、"/>
      <w:lvlJc w:val="left"/>
      <w:rPr>
        <w:rFonts w:hint="eastAsia"/>
      </w:rPr>
    </w:lvl>
  </w:abstractNum>
  <w:abstractNum w:abstractNumId="3">
    <w:nsid w:val="27672449"/>
    <w:multiLevelType w:val="singleLevel"/>
    <w:tmpl w:val="27672449"/>
    <w:lvl w:ilvl="0" w:tentative="0">
      <w:start w:val="2"/>
      <w:numFmt w:val="chineseCounting"/>
      <w:suff w:val="nothing"/>
      <w:lvlText w:val="(%1）"/>
      <w:lvlJc w:val="left"/>
      <w:rPr>
        <w:rFonts w:hint="eastAsia"/>
      </w:rPr>
    </w:lvl>
  </w:abstractNum>
  <w:abstractNum w:abstractNumId="4">
    <w:nsid w:val="2E8D2DA4"/>
    <w:multiLevelType w:val="singleLevel"/>
    <w:tmpl w:val="2E8D2DA4"/>
    <w:lvl w:ilvl="0" w:tentative="0">
      <w:start w:val="2"/>
      <w:numFmt w:val="decimal"/>
      <w:lvlText w:val="%1."/>
      <w:lvlJc w:val="left"/>
      <w:pPr>
        <w:tabs>
          <w:tab w:val="left" w:pos="312"/>
        </w:tabs>
      </w:pPr>
    </w:lvl>
  </w:abstractNum>
  <w:abstractNum w:abstractNumId="5">
    <w:nsid w:val="3BE44C4B"/>
    <w:multiLevelType w:val="multilevel"/>
    <w:tmpl w:val="3BE44C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46351612"/>
    <w:multiLevelType w:val="singleLevel"/>
    <w:tmpl w:val="46351612"/>
    <w:lvl w:ilvl="0" w:tentative="0">
      <w:start w:val="1"/>
      <w:numFmt w:val="chineseCounting"/>
      <w:suff w:val="nothing"/>
      <w:lvlText w:val="（%1）"/>
      <w:lvlJc w:val="left"/>
      <w:rPr>
        <w:rFonts w:hint="eastAsia"/>
      </w:rPr>
    </w:lvl>
  </w:abstractNum>
  <w:abstractNum w:abstractNumId="7">
    <w:nsid w:val="5C2A17A0"/>
    <w:multiLevelType w:val="multilevel"/>
    <w:tmpl w:val="5C2A17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66A2C91C"/>
    <w:multiLevelType w:val="singleLevel"/>
    <w:tmpl w:val="66A2C91C"/>
    <w:lvl w:ilvl="0" w:tentative="0">
      <w:start w:val="1"/>
      <w:numFmt w:val="decimal"/>
      <w:suff w:val="nothing"/>
      <w:lvlText w:val="（%1）"/>
      <w:lvlJc w:val="left"/>
    </w:lvl>
  </w:abstractNum>
  <w:num w:numId="1">
    <w:abstractNumId w:val="2"/>
  </w:num>
  <w:num w:numId="2">
    <w:abstractNumId w:val="6"/>
  </w:num>
  <w:num w:numId="3">
    <w:abstractNumId w:val="0"/>
  </w:num>
  <w:num w:numId="4">
    <w:abstractNumId w:val="8"/>
  </w:num>
  <w:num w:numId="5">
    <w:abstractNumId w:val="4"/>
  </w:num>
  <w:num w:numId="6">
    <w:abstractNumId w:val="3"/>
  </w:num>
  <w:num w:numId="7">
    <w:abstractNumId w:val="1"/>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378F"/>
    <w:rsid w:val="000C46EC"/>
    <w:rsid w:val="00194881"/>
    <w:rsid w:val="00351F2D"/>
    <w:rsid w:val="003F36CB"/>
    <w:rsid w:val="00456A5A"/>
    <w:rsid w:val="00566F5D"/>
    <w:rsid w:val="00584888"/>
    <w:rsid w:val="00631F38"/>
    <w:rsid w:val="006B1BB2"/>
    <w:rsid w:val="008277D1"/>
    <w:rsid w:val="00882753"/>
    <w:rsid w:val="00B00E67"/>
    <w:rsid w:val="00B13740"/>
    <w:rsid w:val="00B8378F"/>
    <w:rsid w:val="00C01157"/>
    <w:rsid w:val="00CE3276"/>
    <w:rsid w:val="00CF23C7"/>
    <w:rsid w:val="00D730E5"/>
    <w:rsid w:val="00EA33DC"/>
    <w:rsid w:val="00EC6614"/>
    <w:rsid w:val="00F64294"/>
    <w:rsid w:val="25441CF8"/>
    <w:rsid w:val="29EE067C"/>
    <w:rsid w:val="2BD91B1C"/>
    <w:rsid w:val="731A6B6F"/>
    <w:rsid w:val="74B706C6"/>
    <w:rsid w:val="79FCE668"/>
    <w:rsid w:val="7FE6BB1D"/>
    <w:rsid w:val="BE6B7B93"/>
    <w:rsid w:val="F7F1243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exact"/>
    </w:pPr>
    <w:rPr>
      <w:rFonts w:ascii="Calibri" w:hAnsi="Calibri" w:eastAsia="宋体" w:cs="Times New Roman"/>
      <w:kern w:val="2"/>
      <w:sz w:val="21"/>
      <w:szCs w:val="24"/>
      <w:lang w:val="en-US" w:eastAsia="zh-CN" w:bidi="ar-SA"/>
      <w14:ligatures w14:val="none"/>
    </w:rPr>
  </w:style>
  <w:style w:type="paragraph" w:styleId="2">
    <w:name w:val="heading 1"/>
    <w:basedOn w:val="1"/>
    <w:next w:val="1"/>
    <w:link w:val="25"/>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6"/>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7"/>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8"/>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9"/>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30"/>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3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2">
    <w:name w:val="Default Paragraph Font"/>
    <w:unhideWhenUsed/>
    <w:uiPriority w:val="1"/>
  </w:style>
  <w:style w:type="table" w:default="1" w:styleId="20">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toc 3"/>
    <w:basedOn w:val="1"/>
    <w:next w:val="1"/>
    <w:autoRedefine/>
    <w:unhideWhenUsed/>
    <w:qFormat/>
    <w:uiPriority w:val="39"/>
    <w:pPr>
      <w:spacing w:after="100" w:line="259" w:lineRule="auto"/>
      <w:ind w:left="440"/>
    </w:pPr>
    <w:rPr>
      <w:rFonts w:asciiTheme="minorHAnsi" w:hAnsiTheme="minorHAnsi" w:eastAsiaTheme="minorEastAsia"/>
      <w:kern w:val="0"/>
      <w:sz w:val="22"/>
      <w:szCs w:val="22"/>
    </w:rPr>
  </w:style>
  <w:style w:type="paragraph" w:styleId="12">
    <w:name w:val="footer"/>
    <w:basedOn w:val="1"/>
    <w:link w:val="45"/>
    <w:unhideWhenUsed/>
    <w:qFormat/>
    <w:uiPriority w:val="99"/>
    <w:pPr>
      <w:tabs>
        <w:tab w:val="center" w:pos="4153"/>
        <w:tab w:val="right" w:pos="8306"/>
      </w:tabs>
      <w:snapToGrid w:val="0"/>
      <w:spacing w:line="240" w:lineRule="atLeast"/>
    </w:pPr>
    <w:rPr>
      <w:sz w:val="18"/>
      <w:szCs w:val="18"/>
    </w:rPr>
  </w:style>
  <w:style w:type="paragraph" w:styleId="13">
    <w:name w:val="header"/>
    <w:basedOn w:val="1"/>
    <w:link w:val="44"/>
    <w:unhideWhenUsed/>
    <w:qFormat/>
    <w:uiPriority w:val="99"/>
    <w:pPr>
      <w:tabs>
        <w:tab w:val="center" w:pos="4153"/>
        <w:tab w:val="right" w:pos="8306"/>
      </w:tabs>
      <w:snapToGrid w:val="0"/>
      <w:spacing w:line="240" w:lineRule="atLeast"/>
      <w:jc w:val="center"/>
    </w:pPr>
    <w:rPr>
      <w:sz w:val="18"/>
      <w:szCs w:val="18"/>
    </w:rPr>
  </w:style>
  <w:style w:type="paragraph" w:styleId="14">
    <w:name w:val="toc 1"/>
    <w:basedOn w:val="1"/>
    <w:next w:val="1"/>
    <w:autoRedefine/>
    <w:unhideWhenUsed/>
    <w:uiPriority w:val="39"/>
    <w:pPr>
      <w:spacing w:after="100" w:line="259" w:lineRule="auto"/>
    </w:pPr>
    <w:rPr>
      <w:rFonts w:asciiTheme="minorHAnsi" w:hAnsiTheme="minorHAnsi" w:eastAsiaTheme="minorEastAsia"/>
      <w:kern w:val="0"/>
      <w:sz w:val="22"/>
      <w:szCs w:val="22"/>
    </w:rPr>
  </w:style>
  <w:style w:type="paragraph" w:styleId="15">
    <w:name w:val="toc 4"/>
    <w:basedOn w:val="1"/>
    <w:next w:val="1"/>
    <w:semiHidden/>
    <w:unhideWhenUsed/>
    <w:uiPriority w:val="39"/>
    <w:pPr>
      <w:ind w:left="1260" w:leftChars="600"/>
    </w:pPr>
  </w:style>
  <w:style w:type="paragraph" w:styleId="16">
    <w:name w:val="Subtitle"/>
    <w:basedOn w:val="1"/>
    <w:next w:val="1"/>
    <w:link w:val="3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oc 2"/>
    <w:basedOn w:val="1"/>
    <w:next w:val="1"/>
    <w:autoRedefine/>
    <w:unhideWhenUsed/>
    <w:uiPriority w:val="39"/>
    <w:pPr>
      <w:spacing w:after="100" w:line="259" w:lineRule="auto"/>
      <w:ind w:left="220"/>
    </w:pPr>
    <w:rPr>
      <w:rFonts w:asciiTheme="minorHAnsi" w:hAnsiTheme="minorHAnsi" w:eastAsiaTheme="minorEastAsia"/>
      <w:kern w:val="0"/>
      <w:sz w:val="22"/>
      <w:szCs w:val="22"/>
    </w:rPr>
  </w:style>
  <w:style w:type="paragraph" w:styleId="18">
    <w:name w:val="Normal (Web)"/>
    <w:basedOn w:val="1"/>
    <w:semiHidden/>
    <w:unhideWhenUsed/>
    <w:uiPriority w:val="99"/>
    <w:rPr>
      <w:sz w:val="24"/>
    </w:rPr>
  </w:style>
  <w:style w:type="paragraph" w:styleId="19">
    <w:name w:val="Title"/>
    <w:basedOn w:val="1"/>
    <w:next w:val="1"/>
    <w:link w:val="34"/>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1">
    <w:name w:val="Table Grid"/>
    <w:basedOn w:val="20"/>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bCs/>
    </w:rPr>
  </w:style>
  <w:style w:type="character" w:styleId="24">
    <w:name w:val="HTML Code"/>
    <w:basedOn w:val="22"/>
    <w:semiHidden/>
    <w:unhideWhenUsed/>
    <w:qFormat/>
    <w:uiPriority w:val="99"/>
    <w:rPr>
      <w:rFonts w:ascii="宋体" w:hAnsi="宋体" w:eastAsia="宋体" w:cs="宋体"/>
      <w:sz w:val="24"/>
      <w:szCs w:val="24"/>
    </w:rPr>
  </w:style>
  <w:style w:type="character" w:customStyle="1" w:styleId="25">
    <w:name w:val="标题 1 字符"/>
    <w:basedOn w:val="22"/>
    <w:link w:val="2"/>
    <w:qFormat/>
    <w:uiPriority w:val="9"/>
    <w:rPr>
      <w:rFonts w:asciiTheme="majorHAnsi" w:hAnsiTheme="majorHAnsi" w:eastAsiaTheme="majorEastAsia" w:cstheme="majorBidi"/>
      <w:color w:val="2F5597" w:themeColor="accent1" w:themeShade="BF"/>
      <w:sz w:val="48"/>
      <w:szCs w:val="48"/>
    </w:rPr>
  </w:style>
  <w:style w:type="character" w:customStyle="1" w:styleId="26">
    <w:name w:val="标题 2 字符"/>
    <w:basedOn w:val="22"/>
    <w:link w:val="3"/>
    <w:uiPriority w:val="9"/>
    <w:rPr>
      <w:rFonts w:asciiTheme="majorHAnsi" w:hAnsiTheme="majorHAnsi" w:eastAsiaTheme="majorEastAsia" w:cstheme="majorBidi"/>
      <w:color w:val="2F5597" w:themeColor="accent1" w:themeShade="BF"/>
      <w:sz w:val="40"/>
      <w:szCs w:val="40"/>
    </w:rPr>
  </w:style>
  <w:style w:type="character" w:customStyle="1" w:styleId="27">
    <w:name w:val="标题 3 字符"/>
    <w:basedOn w:val="22"/>
    <w:link w:val="4"/>
    <w:uiPriority w:val="9"/>
    <w:rPr>
      <w:rFonts w:asciiTheme="majorHAnsi" w:hAnsiTheme="majorHAnsi" w:eastAsiaTheme="majorEastAsia" w:cstheme="majorBidi"/>
      <w:color w:val="2F5597" w:themeColor="accent1" w:themeShade="BF"/>
      <w:sz w:val="32"/>
      <w:szCs w:val="32"/>
    </w:rPr>
  </w:style>
  <w:style w:type="character" w:customStyle="1" w:styleId="28">
    <w:name w:val="标题 4 字符"/>
    <w:basedOn w:val="22"/>
    <w:link w:val="5"/>
    <w:semiHidden/>
    <w:uiPriority w:val="9"/>
    <w:rPr>
      <w:rFonts w:cstheme="majorBidi"/>
      <w:color w:val="2F5597" w:themeColor="accent1" w:themeShade="BF"/>
      <w:sz w:val="28"/>
      <w:szCs w:val="28"/>
    </w:rPr>
  </w:style>
  <w:style w:type="character" w:customStyle="1" w:styleId="29">
    <w:name w:val="标题 5 字符"/>
    <w:basedOn w:val="22"/>
    <w:link w:val="6"/>
    <w:semiHidden/>
    <w:uiPriority w:val="9"/>
    <w:rPr>
      <w:rFonts w:cstheme="majorBidi"/>
      <w:color w:val="2F5597" w:themeColor="accent1" w:themeShade="BF"/>
      <w:sz w:val="24"/>
      <w:szCs w:val="24"/>
    </w:rPr>
  </w:style>
  <w:style w:type="character" w:customStyle="1" w:styleId="30">
    <w:name w:val="标题 6 字符"/>
    <w:basedOn w:val="22"/>
    <w:link w:val="7"/>
    <w:semiHidden/>
    <w:uiPriority w:val="9"/>
    <w:rPr>
      <w:rFonts w:cstheme="majorBidi"/>
      <w:b/>
      <w:bCs/>
      <w:color w:val="2F5597" w:themeColor="accent1" w:themeShade="BF"/>
    </w:rPr>
  </w:style>
  <w:style w:type="character" w:customStyle="1" w:styleId="31">
    <w:name w:val="标题 7 字符"/>
    <w:basedOn w:val="22"/>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2">
    <w:name w:val="标题 8 字符"/>
    <w:basedOn w:val="22"/>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3">
    <w:name w:val="标题 9 字符"/>
    <w:basedOn w:val="22"/>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标题 字符"/>
    <w:basedOn w:val="22"/>
    <w:link w:val="19"/>
    <w:uiPriority w:val="10"/>
    <w:rPr>
      <w:rFonts w:asciiTheme="majorHAnsi" w:hAnsiTheme="majorHAnsi" w:eastAsiaTheme="majorEastAsia" w:cstheme="majorBidi"/>
      <w:spacing w:val="-10"/>
      <w:kern w:val="28"/>
      <w:sz w:val="56"/>
      <w:szCs w:val="56"/>
    </w:rPr>
  </w:style>
  <w:style w:type="character" w:customStyle="1" w:styleId="35">
    <w:name w:val="副标题 字符"/>
    <w:basedOn w:val="22"/>
    <w:link w:val="16"/>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引用 字符"/>
    <w:basedOn w:val="22"/>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22"/>
    <w:qFormat/>
    <w:uiPriority w:val="21"/>
    <w:rPr>
      <w:i/>
      <w:iCs/>
      <w:color w:val="2F5597" w:themeColor="accent1" w:themeShade="BF"/>
    </w:rPr>
  </w:style>
  <w:style w:type="paragraph" w:styleId="40">
    <w:name w:val="Intense Quote"/>
    <w:basedOn w:val="1"/>
    <w:next w:val="1"/>
    <w:link w:val="4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1">
    <w:name w:val="明显引用 字符"/>
    <w:basedOn w:val="22"/>
    <w:link w:val="40"/>
    <w:qFormat/>
    <w:uiPriority w:val="30"/>
    <w:rPr>
      <w:i/>
      <w:iCs/>
      <w:color w:val="2F5597" w:themeColor="accent1" w:themeShade="BF"/>
    </w:rPr>
  </w:style>
  <w:style w:type="character" w:customStyle="1" w:styleId="42">
    <w:name w:val="Intense Reference"/>
    <w:basedOn w:val="22"/>
    <w:qFormat/>
    <w:uiPriority w:val="32"/>
    <w:rPr>
      <w:b/>
      <w:bCs/>
      <w:smallCaps/>
      <w:color w:val="2F5597" w:themeColor="accent1" w:themeShade="BF"/>
      <w:spacing w:val="5"/>
    </w:rPr>
  </w:style>
  <w:style w:type="paragraph" w:customStyle="1" w:styleId="43">
    <w:name w:val="公文正文"/>
    <w:basedOn w:val="1"/>
    <w:qFormat/>
    <w:uiPriority w:val="0"/>
    <w:pPr>
      <w:spacing w:line="600" w:lineRule="exact"/>
      <w:ind w:firstLine="640" w:firstLineChars="200"/>
    </w:pPr>
    <w:rPr>
      <w:rFonts w:ascii="仿宋_GB2312" w:hAnsi="仿宋_GB2312" w:eastAsia="仿宋_GB2312"/>
      <w:sz w:val="32"/>
    </w:rPr>
  </w:style>
  <w:style w:type="character" w:customStyle="1" w:styleId="44">
    <w:name w:val="页眉 字符"/>
    <w:basedOn w:val="22"/>
    <w:link w:val="13"/>
    <w:qFormat/>
    <w:uiPriority w:val="99"/>
    <w:rPr>
      <w:rFonts w:ascii="Calibri" w:hAnsi="Calibri" w:eastAsia="宋体" w:cs="Times New Roman"/>
      <w:sz w:val="18"/>
      <w:szCs w:val="18"/>
      <w14:ligatures w14:val="none"/>
    </w:rPr>
  </w:style>
  <w:style w:type="character" w:customStyle="1" w:styleId="45">
    <w:name w:val="页脚 字符"/>
    <w:basedOn w:val="22"/>
    <w:link w:val="12"/>
    <w:qFormat/>
    <w:uiPriority w:val="99"/>
    <w:rPr>
      <w:rFonts w:ascii="Calibri" w:hAnsi="Calibri" w:eastAsia="宋体" w:cs="Times New Roman"/>
      <w:sz w:val="18"/>
      <w:szCs w:val="18"/>
      <w14:ligatures w14:val="none"/>
    </w:rPr>
  </w:style>
  <w:style w:type="paragraph" w:customStyle="1" w:styleId="46">
    <w:name w:val="TOC Heading"/>
    <w:basedOn w:val="2"/>
    <w:next w:val="1"/>
    <w:unhideWhenUsed/>
    <w:qFormat/>
    <w:uiPriority w:val="39"/>
    <w:pPr>
      <w:spacing w:before="240" w:after="0" w:line="259" w:lineRule="auto"/>
      <w:outlineLvl w:val="9"/>
    </w:pPr>
    <w:rPr>
      <w:kern w:val="0"/>
      <w:sz w:val="32"/>
      <w:szCs w:val="32"/>
    </w:rPr>
  </w:style>
  <w:style w:type="paragraph" w:customStyle="1" w:styleId="47">
    <w:name w:val="msonormal"/>
    <w:basedOn w:val="1"/>
    <w:qFormat/>
    <w:uiPriority w:val="0"/>
    <w:pPr>
      <w:spacing w:before="100" w:beforeAutospacing="1" w:after="100" w:afterAutospacing="1" w:line="240" w:lineRule="auto"/>
    </w:pPr>
    <w:rPr>
      <w:rFonts w:ascii="宋体" w:hAnsi="宋体" w:cs="宋体"/>
      <w:kern w:val="0"/>
      <w:sz w:val="24"/>
    </w:rPr>
  </w:style>
  <w:style w:type="character" w:customStyle="1" w:styleId="48">
    <w:name w:val="15"/>
    <w:basedOn w:val="22"/>
    <w:uiPriority w:val="0"/>
    <w:rPr>
      <w:rFonts w:hint="default" w:ascii="Times New Roman" w:hAnsi="Times New Roman" w:eastAsia="黑体" w:cs="Times New Roman"/>
      <w:sz w:val="18"/>
      <w:szCs w:val="18"/>
    </w:rPr>
  </w:style>
  <w:style w:type="character" w:customStyle="1" w:styleId="49">
    <w:name w:val="10"/>
    <w:basedOn w:val="22"/>
    <w:uiPriority w:val="0"/>
    <w:rPr>
      <w:rFonts w:hint="default" w:ascii="Times New Roman" w:hAnsi="Times New Roman" w:cs="Times New Roman"/>
    </w:rPr>
  </w:style>
  <w:style w:type="paragraph" w:customStyle="1" w:styleId="50">
    <w:name w:val="表注"/>
    <w:basedOn w:val="1"/>
    <w:uiPriority w:val="0"/>
    <w:pPr>
      <w:keepNext w:val="0"/>
      <w:keepLines w:val="0"/>
      <w:widowControl w:val="0"/>
      <w:suppressLineNumbers w:val="0"/>
      <w:tabs>
        <w:tab w:val="center" w:pos="4410"/>
      </w:tabs>
      <w:spacing w:before="0" w:beforeAutospacing="0" w:after="0" w:afterAutospacing="0"/>
      <w:ind w:left="0" w:right="0" w:firstLine="200" w:firstLineChars="200"/>
      <w:jc w:val="left"/>
    </w:pPr>
    <w:rPr>
      <w:rFonts w:hint="default" w:ascii="Calibri" w:hAnsi="Calibri" w:eastAsia="黑体" w:cs="Times New Roman"/>
      <w:kern w:val="2"/>
      <w:sz w:val="18"/>
      <w:szCs w:val="18"/>
      <w:lang w:val="en-US" w:eastAsia="zh-CN" w:bidi="ar"/>
    </w:rPr>
  </w:style>
  <w:style w:type="character" w:customStyle="1" w:styleId="51">
    <w:name w:val="16"/>
    <w:basedOn w:val="22"/>
    <w:uiPriority w:val="0"/>
    <w:rPr>
      <w:rFonts w:hint="default" w:ascii="Times New Roman" w:hAnsi="Times New Roman" w:cs="Times New Roman"/>
      <w:b/>
    </w:rPr>
  </w:style>
  <w:style w:type="paragraph" w:customStyle="1" w:styleId="52">
    <w:name w:val="二级标题"/>
    <w:basedOn w:val="1"/>
    <w:link w:val="58"/>
    <w:uiPriority w:val="0"/>
    <w:rPr>
      <w:rFonts w:hint="eastAsia" w:ascii="楷体" w:hAnsi="楷体" w:eastAsia="楷体" w:cs="楷体"/>
      <w:sz w:val="28"/>
      <w:szCs w:val="28"/>
    </w:rPr>
  </w:style>
  <w:style w:type="paragraph" w:customStyle="1" w:styleId="53">
    <w:name w:val="一级标题"/>
    <w:basedOn w:val="1"/>
    <w:uiPriority w:val="0"/>
    <w:pPr>
      <w:numPr>
        <w:ilvl w:val="0"/>
        <w:numId w:val="1"/>
      </w:numPr>
    </w:pPr>
    <w:rPr>
      <w:rFonts w:hint="eastAsia" w:ascii="黑体" w:hAnsi="黑体" w:eastAsia="黑体" w:cs="黑体"/>
      <w:sz w:val="30"/>
      <w:szCs w:val="30"/>
    </w:rPr>
  </w:style>
  <w:style w:type="paragraph" w:customStyle="1" w:styleId="54">
    <w:name w:val="WPSOffice手动目录 1"/>
    <w:uiPriority w:val="0"/>
    <w:pPr>
      <w:ind w:leftChars="0"/>
    </w:pPr>
    <w:rPr>
      <w:sz w:val="20"/>
      <w:szCs w:val="20"/>
    </w:rPr>
  </w:style>
  <w:style w:type="paragraph" w:customStyle="1" w:styleId="55">
    <w:name w:val="WPSOffice手动目录 2"/>
    <w:uiPriority w:val="0"/>
    <w:pPr>
      <w:ind w:leftChars="200"/>
    </w:pPr>
    <w:rPr>
      <w:sz w:val="20"/>
      <w:szCs w:val="20"/>
    </w:rPr>
  </w:style>
  <w:style w:type="paragraph" w:customStyle="1" w:styleId="56">
    <w:name w:val="WPSOffice手动目录 3"/>
    <w:uiPriority w:val="0"/>
    <w:pPr>
      <w:ind w:leftChars="400"/>
    </w:pPr>
    <w:rPr>
      <w:sz w:val="20"/>
      <w:szCs w:val="20"/>
    </w:rPr>
  </w:style>
  <w:style w:type="paragraph" w:customStyle="1" w:styleId="57">
    <w:name w:val="三级标题"/>
    <w:basedOn w:val="1"/>
    <w:uiPriority w:val="0"/>
    <w:rPr>
      <w:rFonts w:hint="eastAsia" w:ascii="宋体" w:hAnsi="宋体" w:cs="宋体"/>
      <w:b/>
      <w:bCs/>
      <w:sz w:val="24"/>
    </w:rPr>
  </w:style>
  <w:style w:type="character" w:customStyle="1" w:styleId="58">
    <w:name w:val="二级标题 Char"/>
    <w:link w:val="52"/>
    <w:uiPriority w:val="0"/>
    <w:rPr>
      <w:rFonts w:hint="eastAsia" w:ascii="楷体" w:hAnsi="楷体" w:eastAsia="楷体" w:cs="楷体"/>
      <w:sz w:val="28"/>
      <w:szCs w:val="2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F30BD-818E-4DF4-9C85-3A824F0010CE}">
  <ds:schemaRefs/>
</ds:datastoreItem>
</file>

<file path=docProps/app.xml><?xml version="1.0" encoding="utf-8"?>
<Properties xmlns="http://schemas.openxmlformats.org/officeDocument/2006/extended-properties" xmlns:vt="http://schemas.openxmlformats.org/officeDocument/2006/docPropsVTypes">
  <Pages>27</Pages>
  <Words>7334</Words>
  <Characters>8898</Characters>
  <Lines>1</Lines>
  <Paragraphs>1</Paragraphs>
  <TotalTime>14</TotalTime>
  <ScaleCrop>false</ScaleCrop>
  <LinksUpToDate>false</LinksUpToDate>
  <CharactersWithSpaces>9237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2026-04-14T06:40:00Z</dcterms:created>
  <dc:creator>凤仪 林</dc:creator>
  <cp:lastModifiedBy>Y.</cp:lastModifiedBy>
  <dcterms:modified xsi:type="dcterms:W3CDTF">2026-04-28T18:18:40Z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347C2849663CF90C3FACE869DEF0E668_43</vt:lpwstr>
  </property>
  <property fmtid="{D5CDD505-2E9C-101B-9397-08002B2CF9AE}" pid="4" name="KSOTemplateDocerSaveRecord">
    <vt:lpwstr>eyJoZGlkIjoiOGRiZDY5YmE2ZDY4MzliZGFlNGY3Mzg5ZjlmOTg0ZjAiLCJ1c2VySWQiOiIxMzYyOTA0MzU4In0=</vt:lpwstr>
  </property>
</Properties>
</file>