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p-values for trend lines in Fig 5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51"/>
        <w:gridCol w:w="1430"/>
        <w:gridCol w:w="496"/>
      </w:tblGrid>
      <w:tr>
        <w:trPr>
          <w:trHeight w:val="396"/>
          <w:tblHeader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</w:t>
            </w:r>
          </w:p>
        </w:tc>
      </w:tr>
      <w:tr>
        <w:trPr>
          <w:trHeight w:val="436"/>
        </w:trPr>
        <w:tc>
          <w:tcPr>
            <w:vMerge w:val="restart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Dimension</w:t>
            </w: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ecological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0.35</w:t>
            </w:r>
          </w:p>
        </w:tc>
      </w:tr>
      <w:tr>
        <w:trPr>
          <w:trHeight w:val="397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institutional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</w:t>
            </w:r>
          </w:p>
        </w:tc>
      </w:tr>
      <w:tr>
        <w:trPr>
          <w:trHeight w:val="397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socioeconomic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0.42</w:t>
            </w:r>
          </w:p>
        </w:tc>
      </w:tr>
      <w:tr>
        <w:trPr>
          <w:trHeight w:val="436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Species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</w:t>
            </w:r>
          </w:p>
        </w:tc>
        <w:tc>
          <w:tcPr>
            <w:tcBorders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0.43</w:t>
            </w:r>
          </w:p>
        </w:tc>
      </w:tr>
      <w:tr>
        <w:trPr>
          <w:trHeight w:val="397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0.81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2018-05-30T11:49:46Z</dcterms:modified>
  <cp:category/>
</cp:coreProperties>
</file>