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11. Indicators and normalization of Fleet Mobility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345"/>
        <w:gridCol w:w="1512"/>
        <w:gridCol w:w="2506"/>
        <w:gridCol w:w="2673"/>
        <w:gridCol w:w="1878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FLEET MOBILITY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9.500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-2.150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12.500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13.220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-0.270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3.600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0.311</w:t>
            </w:r>
          </w:p>
        </w:tc>
      </w:tr>
      <w:tr>
        <w:trPr>
          <w:cantSplit/>
          <w:trHeight w:val="394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20.410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5.500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1.200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0.155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5.220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-1.590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0.141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0.224</w:t>
            </w:r>
          </w:p>
        </w:tc>
      </w:tr>
      <w:tr>
        <w:trPr>
          <w:cantSplit/>
          <w:trHeight w:val="394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2021-01-29T15:13:02Z</dcterms:modified>
  <cp:category/>
</cp:coreProperties>
</file>