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11. Indicators and normalization of Fleet Mobility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1345"/>
        <w:gridCol w:w="1512"/>
        <w:gridCol w:w="2506"/>
        <w:gridCol w:w="2673"/>
        <w:gridCol w:w="1878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</w:t>
              <w:br/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</w:t>
              <w:br/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FLEET MOBILITY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-2.150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0.793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13.220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-0.270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0.311</w:t>
            </w:r>
          </w:p>
        </w:tc>
      </w:tr>
      <w:tr>
        <w:trPr>
          <w:cantSplit/>
          <w:trHeight w:val="394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0.271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20.410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0.357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1.200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0.155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0.129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5.220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-1.590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0.141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0.224</w:t>
            </w:r>
          </w:p>
        </w:tc>
      </w:tr>
      <w:tr>
        <w:trPr>
          <w:cantSplit/>
          <w:trHeight w:val="394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2021-01-31T16:14:20Z</dcterms:modified>
  <cp:category/>
</cp:coreProperties>
</file>