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345"/>
        <w:gridCol w:w="1512"/>
        <w:gridCol w:w="2506"/>
        <w:gridCol w:w="2673"/>
        <w:gridCol w:w="18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FLEET MOBILITY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</w:t>
            </w:r>
          </w:p>
        </w:tc>
      </w:tr>
      <w:tr>
        <w:trPr>
          <w:cantSplit/>
          <w:trHeight w:val="394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</w:t>
            </w:r>
          </w:p>
        </w:tc>
      </w:tr>
      <w:tr>
        <w:trPr>
          <w:cantSplit/>
          <w:trHeight w:val="394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2021-01-03T23:40:58Z</dcterms:modified>
  <cp:category/>
</cp:coreProperties>
</file>